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03" w:rsidRPr="00354302" w:rsidRDefault="00595803" w:rsidP="00595803">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38355C" w:rsidRPr="0038355C" w:rsidRDefault="0038355C" w:rsidP="0038355C">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Pr>
          <w:rFonts w:ascii="Times New Roman" w:eastAsia="Times New Roman" w:hAnsi="Times New Roman" w:cs="Times New Roman"/>
          <w:b/>
          <w:bCs/>
          <w:kern w:val="36"/>
          <w:sz w:val="48"/>
          <w:szCs w:val="48"/>
          <w:lang w:val="ru-RU" w:eastAsia="ru-RU"/>
        </w:rPr>
        <w:t>К</w:t>
      </w:r>
      <w:r w:rsidRPr="0038355C">
        <w:rPr>
          <w:rFonts w:ascii="Times New Roman" w:eastAsia="Times New Roman" w:hAnsi="Times New Roman" w:cs="Times New Roman"/>
          <w:b/>
          <w:bCs/>
          <w:kern w:val="36"/>
          <w:sz w:val="48"/>
          <w:szCs w:val="48"/>
          <w:lang w:val="ru-RU" w:eastAsia="ru-RU"/>
        </w:rPr>
        <w:t xml:space="preserve">ак продлить </w:t>
      </w:r>
      <w:r>
        <w:rPr>
          <w:rFonts w:ascii="Times New Roman" w:eastAsia="Times New Roman" w:hAnsi="Times New Roman" w:cs="Times New Roman"/>
          <w:b/>
          <w:bCs/>
          <w:kern w:val="36"/>
          <w:sz w:val="48"/>
          <w:szCs w:val="48"/>
          <w:lang w:val="ru-RU" w:eastAsia="ru-RU"/>
        </w:rPr>
        <w:t>жизнь литиевой</w:t>
      </w:r>
      <w:r w:rsidRPr="0038355C">
        <w:rPr>
          <w:rFonts w:ascii="Times New Roman" w:eastAsia="Times New Roman" w:hAnsi="Times New Roman" w:cs="Times New Roman"/>
          <w:b/>
          <w:bCs/>
          <w:kern w:val="36"/>
          <w:sz w:val="48"/>
          <w:szCs w:val="48"/>
          <w:lang w:val="ru-RU" w:eastAsia="ru-RU"/>
        </w:rPr>
        <w:t xml:space="preserve"> батаре</w:t>
      </w:r>
      <w:r>
        <w:rPr>
          <w:rFonts w:ascii="Times New Roman" w:eastAsia="Times New Roman" w:hAnsi="Times New Roman" w:cs="Times New Roman"/>
          <w:b/>
          <w:bCs/>
          <w:kern w:val="36"/>
          <w:sz w:val="48"/>
          <w:szCs w:val="48"/>
          <w:lang w:val="ru-RU" w:eastAsia="ru-RU"/>
        </w:rPr>
        <w:t>е</w:t>
      </w:r>
      <w:r w:rsidRPr="0038355C">
        <w:rPr>
          <w:rFonts w:ascii="Times New Roman" w:eastAsia="Times New Roman" w:hAnsi="Times New Roman" w:cs="Times New Roman"/>
          <w:b/>
          <w:bCs/>
          <w:kern w:val="36"/>
          <w:sz w:val="48"/>
          <w:szCs w:val="48"/>
          <w:lang w:val="ru-RU" w:eastAsia="ru-RU"/>
        </w:rPr>
        <w:t xml:space="preserve"> </w:t>
      </w:r>
    </w:p>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 xml:space="preserve">Узнайте, что вызывает </w:t>
      </w:r>
      <w:proofErr w:type="spellStart"/>
      <w:proofErr w:type="gramStart"/>
      <w:r w:rsidRPr="0038355C">
        <w:rPr>
          <w:rFonts w:ascii="Times New Roman" w:eastAsia="Times New Roman" w:hAnsi="Times New Roman" w:cs="Times New Roman"/>
          <w:b/>
          <w:bCs/>
          <w:sz w:val="24"/>
          <w:szCs w:val="24"/>
          <w:lang w:val="ru-RU" w:eastAsia="ru-RU"/>
        </w:rPr>
        <w:t>литий-ионный</w:t>
      </w:r>
      <w:proofErr w:type="spellEnd"/>
      <w:proofErr w:type="gramEnd"/>
      <w:r w:rsidRPr="0038355C">
        <w:rPr>
          <w:rFonts w:ascii="Times New Roman" w:eastAsia="Times New Roman" w:hAnsi="Times New Roman" w:cs="Times New Roman"/>
          <w:b/>
          <w:bCs/>
          <w:sz w:val="24"/>
          <w:szCs w:val="24"/>
          <w:lang w:val="ru-RU" w:eastAsia="ru-RU"/>
        </w:rPr>
        <w:t xml:space="preserve"> возраст и что пользователь батареи может сделать, чтобы продлить его жизнь.</w:t>
      </w:r>
      <w:r w:rsidRPr="0038355C">
        <w:rPr>
          <w:rFonts w:ascii="Times New Roman" w:eastAsia="Times New Roman" w:hAnsi="Times New Roman" w:cs="Times New Roman"/>
          <w:sz w:val="24"/>
          <w:szCs w:val="24"/>
          <w:lang w:val="ru-RU" w:eastAsia="ru-RU"/>
        </w:rPr>
        <w:t xml:space="preserve">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 xml:space="preserve">Исследования батарей сосредотачиваются на химии лития настолько, что можно себе представить, что будущее батареи лежит исключительно в литии. Есть веские основания для оптимизма, поскольку литий-ион во многих отношениях превосходит другие химические вещества. Приложения растут и выходят на рынки, которые ранее были прочно </w:t>
      </w:r>
      <w:proofErr w:type="spellStart"/>
      <w:r w:rsidRPr="0038355C">
        <w:rPr>
          <w:rFonts w:ascii="Times New Roman" w:eastAsia="Times New Roman" w:hAnsi="Times New Roman" w:cs="Times New Roman"/>
          <w:sz w:val="24"/>
          <w:szCs w:val="24"/>
          <w:lang w:val="ru-RU" w:eastAsia="ru-RU"/>
        </w:rPr>
        <w:t>удержиты</w:t>
      </w:r>
      <w:proofErr w:type="spellEnd"/>
      <w:r w:rsidRPr="0038355C">
        <w:rPr>
          <w:rFonts w:ascii="Times New Roman" w:eastAsia="Times New Roman" w:hAnsi="Times New Roman" w:cs="Times New Roman"/>
          <w:sz w:val="24"/>
          <w:szCs w:val="24"/>
          <w:lang w:val="ru-RU" w:eastAsia="ru-RU"/>
        </w:rPr>
        <w:t xml:space="preserve"> свинцовой кислотой, например, в режиме ожидания и выравнивания нагрузки. Многие спутники также питаются от </w:t>
      </w:r>
      <w:proofErr w:type="spellStart"/>
      <w:r w:rsidRPr="0038355C">
        <w:rPr>
          <w:rFonts w:ascii="Times New Roman" w:eastAsia="Times New Roman" w:hAnsi="Times New Roman" w:cs="Times New Roman"/>
          <w:sz w:val="24"/>
          <w:szCs w:val="24"/>
          <w:lang w:val="ru-RU" w:eastAsia="ru-RU"/>
        </w:rPr>
        <w:t>Li-ion</w:t>
      </w:r>
      <w:proofErr w:type="spellEnd"/>
      <w:r w:rsidRPr="0038355C">
        <w:rPr>
          <w:rFonts w:ascii="Times New Roman" w:eastAsia="Times New Roman" w:hAnsi="Times New Roman" w:cs="Times New Roman"/>
          <w:sz w:val="24"/>
          <w:szCs w:val="24"/>
          <w:lang w:val="ru-RU" w:eastAsia="ru-RU"/>
        </w:rPr>
        <w:t xml:space="preserve">.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 xml:space="preserve">Литий-ион еще не полностью созрел и все еще улучшается. Значительные успехи были достигнуты в области долговечности и безопасности, в то время как способность увеличивается постепенно. Сегодня </w:t>
      </w:r>
      <w:proofErr w:type="spellStart"/>
      <w:r w:rsidRPr="0038355C">
        <w:rPr>
          <w:rFonts w:ascii="Times New Roman" w:eastAsia="Times New Roman" w:hAnsi="Times New Roman" w:cs="Times New Roman"/>
          <w:sz w:val="24"/>
          <w:szCs w:val="24"/>
          <w:lang w:val="ru-RU" w:eastAsia="ru-RU"/>
        </w:rPr>
        <w:t>Li-ion</w:t>
      </w:r>
      <w:proofErr w:type="spellEnd"/>
      <w:r w:rsidRPr="0038355C">
        <w:rPr>
          <w:rFonts w:ascii="Times New Roman" w:eastAsia="Times New Roman" w:hAnsi="Times New Roman" w:cs="Times New Roman"/>
          <w:sz w:val="24"/>
          <w:szCs w:val="24"/>
          <w:lang w:val="ru-RU" w:eastAsia="ru-RU"/>
        </w:rPr>
        <w:t xml:space="preserve"> отвечает ожиданиям большинства потребительских устройств, но приложения для EV нуждаются в дальнейшем развитии до того, как этот источник энергии станет принятой нормой. </w:t>
      </w:r>
    </w:p>
    <w:p w:rsidR="0038355C" w:rsidRPr="0038355C" w:rsidRDefault="0038355C" w:rsidP="0038355C">
      <w:pPr>
        <w:spacing w:before="100" w:beforeAutospacing="1" w:after="100" w:afterAutospacing="1"/>
        <w:outlineLvl w:val="1"/>
        <w:rPr>
          <w:rFonts w:ascii="Times New Roman" w:eastAsia="Times New Roman" w:hAnsi="Times New Roman" w:cs="Times New Roman"/>
          <w:b/>
          <w:bCs/>
          <w:sz w:val="36"/>
          <w:szCs w:val="36"/>
          <w:lang w:val="ru-RU" w:eastAsia="ru-RU"/>
        </w:rPr>
      </w:pPr>
      <w:r w:rsidRPr="0038355C">
        <w:rPr>
          <w:rFonts w:ascii="Times New Roman" w:eastAsia="Times New Roman" w:hAnsi="Times New Roman" w:cs="Times New Roman"/>
          <w:b/>
          <w:bCs/>
          <w:sz w:val="36"/>
          <w:szCs w:val="36"/>
          <w:lang w:val="ru-RU" w:eastAsia="ru-RU"/>
        </w:rPr>
        <w:t xml:space="preserve">Что вызывает </w:t>
      </w:r>
      <w:proofErr w:type="spellStart"/>
      <w:proofErr w:type="gramStart"/>
      <w:r w:rsidRPr="0038355C">
        <w:rPr>
          <w:rFonts w:ascii="Times New Roman" w:eastAsia="Times New Roman" w:hAnsi="Times New Roman" w:cs="Times New Roman"/>
          <w:b/>
          <w:bCs/>
          <w:sz w:val="36"/>
          <w:szCs w:val="36"/>
          <w:lang w:val="ru-RU" w:eastAsia="ru-RU"/>
        </w:rPr>
        <w:t>литий-ионный</w:t>
      </w:r>
      <w:proofErr w:type="spellEnd"/>
      <w:proofErr w:type="gramEnd"/>
      <w:r w:rsidRPr="0038355C">
        <w:rPr>
          <w:rFonts w:ascii="Times New Roman" w:eastAsia="Times New Roman" w:hAnsi="Times New Roman" w:cs="Times New Roman"/>
          <w:b/>
          <w:bCs/>
          <w:sz w:val="36"/>
          <w:szCs w:val="36"/>
          <w:lang w:val="ru-RU" w:eastAsia="ru-RU"/>
        </w:rPr>
        <w:t xml:space="preserve"> возраст? </w:t>
      </w:r>
    </w:p>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proofErr w:type="spellStart"/>
      <w:proofErr w:type="gramStart"/>
      <w:r w:rsidRPr="0038355C">
        <w:rPr>
          <w:rFonts w:ascii="Times New Roman" w:eastAsia="Times New Roman" w:hAnsi="Times New Roman" w:cs="Times New Roman"/>
          <w:sz w:val="24"/>
          <w:szCs w:val="24"/>
          <w:lang w:val="ru-RU" w:eastAsia="ru-RU"/>
        </w:rPr>
        <w:t>Литий-ионная</w:t>
      </w:r>
      <w:proofErr w:type="spellEnd"/>
      <w:proofErr w:type="gramEnd"/>
      <w:r w:rsidRPr="0038355C">
        <w:rPr>
          <w:rFonts w:ascii="Times New Roman" w:eastAsia="Times New Roman" w:hAnsi="Times New Roman" w:cs="Times New Roman"/>
          <w:sz w:val="24"/>
          <w:szCs w:val="24"/>
          <w:lang w:val="ru-RU" w:eastAsia="ru-RU"/>
        </w:rPr>
        <w:t xml:space="preserve"> батарея работает на движение ионов между положительным и отрицательным электродами. Теоретически такой механизм должен работать вечно, но цикличность, повышенная температура и старение снижают производительность с течением времени. Производители придерживаются консервативного подхода и определяют срок службы </w:t>
      </w:r>
      <w:proofErr w:type="spellStart"/>
      <w:r w:rsidRPr="0038355C">
        <w:rPr>
          <w:rFonts w:ascii="Times New Roman" w:eastAsia="Times New Roman" w:hAnsi="Times New Roman" w:cs="Times New Roman"/>
          <w:sz w:val="24"/>
          <w:szCs w:val="24"/>
          <w:lang w:val="ru-RU" w:eastAsia="ru-RU"/>
        </w:rPr>
        <w:t>Li-ion</w:t>
      </w:r>
      <w:proofErr w:type="spellEnd"/>
      <w:r w:rsidRPr="0038355C">
        <w:rPr>
          <w:rFonts w:ascii="Times New Roman" w:eastAsia="Times New Roman" w:hAnsi="Times New Roman" w:cs="Times New Roman"/>
          <w:sz w:val="24"/>
          <w:szCs w:val="24"/>
          <w:lang w:val="ru-RU" w:eastAsia="ru-RU"/>
        </w:rPr>
        <w:t xml:space="preserve"> в большинстве потребительских товаров как от 300 до 500 циклов разряда / заряда.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Оценка времени автономной работы в циклах подсчета не является убедительной, поскольку разряд может сильно отличаться по глубине, и нет четко определенных стандартов того, что представляет собой цикл</w:t>
      </w:r>
      <w:r>
        <w:rPr>
          <w:rFonts w:ascii="Times New Roman" w:eastAsia="Times New Roman" w:hAnsi="Times New Roman" w:cs="Times New Roman"/>
          <w:sz w:val="24"/>
          <w:szCs w:val="24"/>
          <w:lang w:val="ru-RU" w:eastAsia="ru-RU"/>
        </w:rPr>
        <w:t>.</w:t>
      </w:r>
      <w:r w:rsidRPr="0038355C">
        <w:rPr>
          <w:rFonts w:ascii="Times New Roman" w:eastAsia="Times New Roman" w:hAnsi="Times New Roman" w:cs="Times New Roman"/>
          <w:sz w:val="24"/>
          <w:szCs w:val="24"/>
          <w:lang w:val="ru-RU" w:eastAsia="ru-RU"/>
        </w:rPr>
        <w:t xml:space="preserve"> Вместо количества циклов некоторые производители устрой</w:t>
      </w:r>
      <w:proofErr w:type="gramStart"/>
      <w:r w:rsidRPr="0038355C">
        <w:rPr>
          <w:rFonts w:ascii="Times New Roman" w:eastAsia="Times New Roman" w:hAnsi="Times New Roman" w:cs="Times New Roman"/>
          <w:sz w:val="24"/>
          <w:szCs w:val="24"/>
          <w:lang w:val="ru-RU" w:eastAsia="ru-RU"/>
        </w:rPr>
        <w:t>ств пр</w:t>
      </w:r>
      <w:proofErr w:type="gramEnd"/>
      <w:r w:rsidRPr="0038355C">
        <w:rPr>
          <w:rFonts w:ascii="Times New Roman" w:eastAsia="Times New Roman" w:hAnsi="Times New Roman" w:cs="Times New Roman"/>
          <w:sz w:val="24"/>
          <w:szCs w:val="24"/>
          <w:lang w:val="ru-RU" w:eastAsia="ru-RU"/>
        </w:rPr>
        <w:t xml:space="preserve">едлагают замену батареи на отметке даты, но этот метод не учитывает использование. Батарея может выйти из строя в течение отведенного времени из-за интенсивного использования или неблагоприятных температурных условий; однако большинство пакетов осталось значительно дольше, чем указывает штамп.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 xml:space="preserve">Производительность батареи измеряется по мощности, ведущему индикатору состояния здоровья. Внутреннее сопротивление и саморазряд также играют роли, но они менее значительны для прогнозирования окончания срока службы батареи с использованием современного </w:t>
      </w:r>
      <w:proofErr w:type="spellStart"/>
      <w:r w:rsidRPr="0038355C">
        <w:rPr>
          <w:rFonts w:ascii="Times New Roman" w:eastAsia="Times New Roman" w:hAnsi="Times New Roman" w:cs="Times New Roman"/>
          <w:sz w:val="24"/>
          <w:szCs w:val="24"/>
          <w:lang w:val="ru-RU" w:eastAsia="ru-RU"/>
        </w:rPr>
        <w:t>Li-ion</w:t>
      </w:r>
      <w:proofErr w:type="spellEnd"/>
      <w:r w:rsidRPr="0038355C">
        <w:rPr>
          <w:rFonts w:ascii="Times New Roman" w:eastAsia="Times New Roman" w:hAnsi="Times New Roman" w:cs="Times New Roman"/>
          <w:sz w:val="24"/>
          <w:szCs w:val="24"/>
          <w:lang w:val="ru-RU" w:eastAsia="ru-RU"/>
        </w:rPr>
        <w:t xml:space="preserve">.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 xml:space="preserve">На рисунке 1 показано падение мощности 11 </w:t>
      </w:r>
      <w:proofErr w:type="spellStart"/>
      <w:proofErr w:type="gramStart"/>
      <w:r w:rsidRPr="0038355C">
        <w:rPr>
          <w:rFonts w:ascii="Times New Roman" w:eastAsia="Times New Roman" w:hAnsi="Times New Roman" w:cs="Times New Roman"/>
          <w:sz w:val="24"/>
          <w:szCs w:val="24"/>
          <w:lang w:val="ru-RU" w:eastAsia="ru-RU"/>
        </w:rPr>
        <w:t>литий-полимерных</w:t>
      </w:r>
      <w:proofErr w:type="spellEnd"/>
      <w:proofErr w:type="gramEnd"/>
      <w:r w:rsidRPr="0038355C">
        <w:rPr>
          <w:rFonts w:ascii="Times New Roman" w:eastAsia="Times New Roman" w:hAnsi="Times New Roman" w:cs="Times New Roman"/>
          <w:sz w:val="24"/>
          <w:szCs w:val="24"/>
          <w:lang w:val="ru-RU" w:eastAsia="ru-RU"/>
        </w:rPr>
        <w:t xml:space="preserve"> батарей, которые были задействованы в лаборатории </w:t>
      </w:r>
      <w:proofErr w:type="spellStart"/>
      <w:r w:rsidRPr="0038355C">
        <w:rPr>
          <w:rFonts w:ascii="Times New Roman" w:eastAsia="Times New Roman" w:hAnsi="Times New Roman" w:cs="Times New Roman"/>
          <w:sz w:val="24"/>
          <w:szCs w:val="24"/>
          <w:lang w:val="ru-RU" w:eastAsia="ru-RU"/>
        </w:rPr>
        <w:t>Cadex</w:t>
      </w:r>
      <w:proofErr w:type="spellEnd"/>
      <w:r w:rsidRPr="0038355C">
        <w:rPr>
          <w:rFonts w:ascii="Times New Roman" w:eastAsia="Times New Roman" w:hAnsi="Times New Roman" w:cs="Times New Roman"/>
          <w:sz w:val="24"/>
          <w:szCs w:val="24"/>
          <w:lang w:val="ru-RU" w:eastAsia="ru-RU"/>
        </w:rPr>
        <w:t xml:space="preserve">. Сумки для ячеек размером 1500 </w:t>
      </w:r>
      <w:proofErr w:type="spellStart"/>
      <w:r w:rsidRPr="0038355C">
        <w:rPr>
          <w:rFonts w:ascii="Times New Roman" w:eastAsia="Times New Roman" w:hAnsi="Times New Roman" w:cs="Times New Roman"/>
          <w:sz w:val="24"/>
          <w:szCs w:val="24"/>
          <w:lang w:val="ru-RU" w:eastAsia="ru-RU"/>
        </w:rPr>
        <w:t>мАч</w:t>
      </w:r>
      <w:proofErr w:type="spellEnd"/>
      <w:r w:rsidRPr="0038355C">
        <w:rPr>
          <w:rFonts w:ascii="Times New Roman" w:eastAsia="Times New Roman" w:hAnsi="Times New Roman" w:cs="Times New Roman"/>
          <w:sz w:val="24"/>
          <w:szCs w:val="24"/>
          <w:lang w:val="ru-RU" w:eastAsia="ru-RU"/>
        </w:rPr>
        <w:t xml:space="preserve"> для мобильных телефонов были сначала заряжены при токе от 1 500 мА (1C) до 4,20</w:t>
      </w:r>
      <w:proofErr w:type="gramStart"/>
      <w:r w:rsidRPr="0038355C">
        <w:rPr>
          <w:rFonts w:ascii="Times New Roman" w:eastAsia="Times New Roman" w:hAnsi="Times New Roman" w:cs="Times New Roman"/>
          <w:sz w:val="24"/>
          <w:szCs w:val="24"/>
          <w:lang w:val="ru-RU" w:eastAsia="ru-RU"/>
        </w:rPr>
        <w:t xml:space="preserve"> В</w:t>
      </w:r>
      <w:proofErr w:type="gramEnd"/>
      <w:r w:rsidRPr="0038355C">
        <w:rPr>
          <w:rFonts w:ascii="Times New Roman" w:eastAsia="Times New Roman" w:hAnsi="Times New Roman" w:cs="Times New Roman"/>
          <w:sz w:val="24"/>
          <w:szCs w:val="24"/>
          <w:lang w:val="ru-RU" w:eastAsia="ru-RU"/>
        </w:rPr>
        <w:t xml:space="preserve"> / ячейка, а затем позволили насыщаться до 0,05 ° C (75 мА) в качестве части полной насыщенности заряда. Батареи затем разряжались при 1500 мА до 3,0</w:t>
      </w:r>
      <w:proofErr w:type="gramStart"/>
      <w:r w:rsidRPr="0038355C">
        <w:rPr>
          <w:rFonts w:ascii="Times New Roman" w:eastAsia="Times New Roman" w:hAnsi="Times New Roman" w:cs="Times New Roman"/>
          <w:sz w:val="24"/>
          <w:szCs w:val="24"/>
          <w:lang w:val="ru-RU" w:eastAsia="ru-RU"/>
        </w:rPr>
        <w:t xml:space="preserve"> В</w:t>
      </w:r>
      <w:proofErr w:type="gramEnd"/>
      <w:r w:rsidRPr="0038355C">
        <w:rPr>
          <w:rFonts w:ascii="Times New Roman" w:eastAsia="Times New Roman" w:hAnsi="Times New Roman" w:cs="Times New Roman"/>
          <w:sz w:val="24"/>
          <w:szCs w:val="24"/>
          <w:lang w:val="ru-RU" w:eastAsia="ru-RU"/>
        </w:rPr>
        <w:t xml:space="preserve"> / ячейка, и цикл повторялся. Ожидаемая потеря мощности </w:t>
      </w:r>
      <w:proofErr w:type="spellStart"/>
      <w:proofErr w:type="gramStart"/>
      <w:r w:rsidRPr="0038355C">
        <w:rPr>
          <w:rFonts w:ascii="Times New Roman" w:eastAsia="Times New Roman" w:hAnsi="Times New Roman" w:cs="Times New Roman"/>
          <w:sz w:val="24"/>
          <w:szCs w:val="24"/>
          <w:lang w:val="ru-RU" w:eastAsia="ru-RU"/>
        </w:rPr>
        <w:t>литий-ионных</w:t>
      </w:r>
      <w:proofErr w:type="spellEnd"/>
      <w:proofErr w:type="gramEnd"/>
      <w:r w:rsidRPr="0038355C">
        <w:rPr>
          <w:rFonts w:ascii="Times New Roman" w:eastAsia="Times New Roman" w:hAnsi="Times New Roman" w:cs="Times New Roman"/>
          <w:sz w:val="24"/>
          <w:szCs w:val="24"/>
          <w:lang w:val="ru-RU" w:eastAsia="ru-RU"/>
        </w:rPr>
        <w:t xml:space="preserve"> батарей была одинаковой по поставленным 250 циклам, а батареи выполнялись, как ожидалось. </w:t>
      </w:r>
    </w:p>
    <w:tbl>
      <w:tblPr>
        <w:tblW w:w="8550" w:type="dxa"/>
        <w:tblCellSpacing w:w="0" w:type="dxa"/>
        <w:tblCellMar>
          <w:left w:w="0" w:type="dxa"/>
          <w:right w:w="0" w:type="dxa"/>
        </w:tblCellMar>
        <w:tblLook w:val="04A0"/>
      </w:tblPr>
      <w:tblGrid>
        <w:gridCol w:w="8550"/>
      </w:tblGrid>
      <w:tr w:rsidR="0038355C" w:rsidRPr="0038355C" w:rsidTr="0038355C">
        <w:trPr>
          <w:tblCellSpacing w:w="0" w:type="dxa"/>
        </w:trPr>
        <w:tc>
          <w:tcPr>
            <w:tcW w:w="6000" w:type="dxa"/>
            <w:vAlign w:val="center"/>
            <w:hideMark/>
          </w:tcPr>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3619500" cy="2628900"/>
                  <wp:effectExtent l="19050" t="0" r="0" b="0"/>
                  <wp:docPr id="1" name="Рисунок 1" descr="Снижение производительности в рамках велоспор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нижение производительности в рамках велоспорта"/>
                          <pic:cNvPicPr>
                            <a:picLocks noChangeAspect="1" noChangeArrowheads="1"/>
                          </pic:cNvPicPr>
                        </pic:nvPicPr>
                        <pic:blipFill>
                          <a:blip r:embed="rId5"/>
                          <a:srcRect/>
                          <a:stretch>
                            <a:fillRect/>
                          </a:stretch>
                        </pic:blipFill>
                        <pic:spPr bwMode="auto">
                          <a:xfrm>
                            <a:off x="0" y="0"/>
                            <a:ext cx="3619500" cy="2628900"/>
                          </a:xfrm>
                          <a:prstGeom prst="rect">
                            <a:avLst/>
                          </a:prstGeom>
                          <a:noFill/>
                          <a:ln w="9525">
                            <a:noFill/>
                            <a:miter lim="800000"/>
                            <a:headEnd/>
                            <a:tailEnd/>
                          </a:ln>
                        </pic:spPr>
                      </pic:pic>
                    </a:graphicData>
                  </a:graphic>
                </wp:inline>
              </w:drawing>
            </w:r>
          </w:p>
        </w:tc>
      </w:tr>
      <w:tr w:rsidR="0038355C" w:rsidRPr="0038355C" w:rsidTr="0038355C">
        <w:trPr>
          <w:tblCellSpacing w:w="0" w:type="dxa"/>
        </w:trPr>
        <w:tc>
          <w:tcPr>
            <w:tcW w:w="6000" w:type="dxa"/>
            <w:vAlign w:val="center"/>
            <w:hideMark/>
          </w:tcPr>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Рисунок 1: Снижение производительности как часть цикла.</w:t>
            </w:r>
            <w:r w:rsidRPr="0038355C">
              <w:rPr>
                <w:rFonts w:ascii="Times New Roman" w:eastAsia="Times New Roman" w:hAnsi="Times New Roman" w:cs="Times New Roman"/>
                <w:sz w:val="24"/>
                <w:szCs w:val="24"/>
                <w:lang w:val="ru-RU" w:eastAsia="ru-RU"/>
              </w:rPr>
              <w:t xml:space="preserve"> Одиннадцать новых литий-ионов были протестированы на анализаторе аккумуляторов </w:t>
            </w:r>
            <w:proofErr w:type="spellStart"/>
            <w:r w:rsidRPr="0038355C">
              <w:rPr>
                <w:rFonts w:ascii="Times New Roman" w:eastAsia="Times New Roman" w:hAnsi="Times New Roman" w:cs="Times New Roman"/>
                <w:sz w:val="24"/>
                <w:szCs w:val="24"/>
                <w:lang w:val="ru-RU" w:eastAsia="ru-RU"/>
              </w:rPr>
              <w:t>Cadex</w:t>
            </w:r>
            <w:proofErr w:type="spellEnd"/>
            <w:r w:rsidRPr="0038355C">
              <w:rPr>
                <w:rFonts w:ascii="Times New Roman" w:eastAsia="Times New Roman" w:hAnsi="Times New Roman" w:cs="Times New Roman"/>
                <w:sz w:val="24"/>
                <w:szCs w:val="24"/>
                <w:lang w:val="ru-RU" w:eastAsia="ru-RU"/>
              </w:rPr>
              <w:t xml:space="preserve"> C7400. Все пакеты начинались с 88-94% и уменьшались до 73-84% после 250 циклов полной разрядки. Сумки 1500mAh используются в мобильных телефонах. </w:t>
            </w:r>
          </w:p>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vertAlign w:val="superscript"/>
                <w:lang w:val="ru-RU" w:eastAsia="ru-RU"/>
              </w:rPr>
              <w:t xml:space="preserve">Предоставлено </w:t>
            </w:r>
            <w:proofErr w:type="spellStart"/>
            <w:r w:rsidRPr="0038355C">
              <w:rPr>
                <w:rFonts w:ascii="Times New Roman" w:eastAsia="Times New Roman" w:hAnsi="Times New Roman" w:cs="Times New Roman"/>
                <w:sz w:val="24"/>
                <w:szCs w:val="24"/>
                <w:vertAlign w:val="superscript"/>
                <w:lang w:val="ru-RU" w:eastAsia="ru-RU"/>
              </w:rPr>
              <w:t>Cadex</w:t>
            </w:r>
            <w:proofErr w:type="spellEnd"/>
            <w:r w:rsidRPr="0038355C">
              <w:rPr>
                <w:rFonts w:ascii="Times New Roman" w:eastAsia="Times New Roman" w:hAnsi="Times New Roman" w:cs="Times New Roman"/>
                <w:sz w:val="24"/>
                <w:szCs w:val="24"/>
                <w:lang w:val="ru-RU" w:eastAsia="ru-RU"/>
              </w:rPr>
              <w:t xml:space="preserve"> </w:t>
            </w:r>
          </w:p>
        </w:tc>
      </w:tr>
    </w:tbl>
    <w:p w:rsidR="00677A9D"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br/>
        <w:t xml:space="preserve">Хотя батарея должна обеспечивать 100-процентную емкость в течение первого года обслуживания, обычно наблюдается меньшая, чем указанные мощности, и срок годности может способствовать этой потере. Кроме того, производители, как правило, переоценивают свои батареи, зная, что очень немногие пользователи будут проводить выборочные проверки и жаловаться, если они будут низкими. Не имея необходимости сопоставлять отдельные ячейки в мобильных телефонах и планшетах, как это требуется в пакетах с несколькими ячейками, открывается шлюз для более широкого восприятия производительности. Клетки с меньшей емкостью могут проскальзывать через трещины, не зная потребителя.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Как и механическое устройство, которое быстрее изнашивается при интенсивном использовании, глубина разряда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определяет количество циклов батареи. Чем меньше разряд (низкий уровень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тем дольше будет длиться батарея. Если это вообще возможно, избегайте полных разрядов и чаще заряжайте аккумулятор между использованием. Частичный разряд на </w:t>
      </w:r>
      <w:proofErr w:type="spellStart"/>
      <w:r w:rsidRPr="0038355C">
        <w:rPr>
          <w:rFonts w:ascii="Times New Roman" w:eastAsia="Times New Roman" w:hAnsi="Times New Roman" w:cs="Times New Roman"/>
          <w:sz w:val="24"/>
          <w:szCs w:val="24"/>
          <w:lang w:val="ru-RU" w:eastAsia="ru-RU"/>
        </w:rPr>
        <w:t>Li-ion</w:t>
      </w:r>
      <w:proofErr w:type="spellEnd"/>
      <w:r w:rsidRPr="0038355C">
        <w:rPr>
          <w:rFonts w:ascii="Times New Roman" w:eastAsia="Times New Roman" w:hAnsi="Times New Roman" w:cs="Times New Roman"/>
          <w:sz w:val="24"/>
          <w:szCs w:val="24"/>
          <w:lang w:val="ru-RU" w:eastAsia="ru-RU"/>
        </w:rPr>
        <w:t xml:space="preserve"> прекрасен. Нет памяти, и для продления срока службы батареи не требуется периодических циклов полной разрядки. Исключением может быть периодическая калибровка манометра на интеллектуальном аккумуляторе или интеллектуальном устройстве. </w:t>
      </w:r>
    </w:p>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В следующих таблицах указаны потери мощности, связанные с нагрузкой, на </w:t>
      </w:r>
      <w:proofErr w:type="spellStart"/>
      <w:proofErr w:type="gramStart"/>
      <w:r w:rsidRPr="0038355C">
        <w:rPr>
          <w:rFonts w:ascii="Times New Roman" w:eastAsia="Times New Roman" w:hAnsi="Times New Roman" w:cs="Times New Roman"/>
          <w:sz w:val="24"/>
          <w:szCs w:val="24"/>
          <w:lang w:val="ru-RU" w:eastAsia="ru-RU"/>
        </w:rPr>
        <w:t>литий-ионный</w:t>
      </w:r>
      <w:proofErr w:type="spellEnd"/>
      <w:proofErr w:type="gramEnd"/>
      <w:r w:rsidRPr="0038355C">
        <w:rPr>
          <w:rFonts w:ascii="Times New Roman" w:eastAsia="Times New Roman" w:hAnsi="Times New Roman" w:cs="Times New Roman"/>
          <w:sz w:val="24"/>
          <w:szCs w:val="24"/>
          <w:lang w:val="ru-RU" w:eastAsia="ru-RU"/>
        </w:rPr>
        <w:t xml:space="preserve"> ион на основе кобальта. Напряжения фосфата лития и </w:t>
      </w:r>
      <w:proofErr w:type="spellStart"/>
      <w:r w:rsidRPr="0038355C">
        <w:rPr>
          <w:rFonts w:ascii="Times New Roman" w:eastAsia="Times New Roman" w:hAnsi="Times New Roman" w:cs="Times New Roman"/>
          <w:sz w:val="24"/>
          <w:szCs w:val="24"/>
          <w:lang w:val="ru-RU" w:eastAsia="ru-RU"/>
        </w:rPr>
        <w:t>титаната</w:t>
      </w:r>
      <w:proofErr w:type="spellEnd"/>
      <w:r w:rsidRPr="0038355C">
        <w:rPr>
          <w:rFonts w:ascii="Times New Roman" w:eastAsia="Times New Roman" w:hAnsi="Times New Roman" w:cs="Times New Roman"/>
          <w:sz w:val="24"/>
          <w:szCs w:val="24"/>
          <w:lang w:val="ru-RU" w:eastAsia="ru-RU"/>
        </w:rPr>
        <w:t xml:space="preserve"> лития ниже и не относятся к указанным значениям напряжения. </w:t>
      </w:r>
    </w:p>
    <w:tbl>
      <w:tblPr>
        <w:tblW w:w="855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1293"/>
        <w:gridCol w:w="7257"/>
      </w:tblGrid>
      <w:tr w:rsidR="0038355C" w:rsidRPr="0038355C" w:rsidTr="00677A9D">
        <w:trPr>
          <w:tblCellSpacing w:w="0" w:type="dxa"/>
        </w:trPr>
        <w:tc>
          <w:tcPr>
            <w:tcW w:w="0" w:type="auto"/>
            <w:shd w:val="clear" w:color="auto" w:fill="FFCC00"/>
            <w:hideMark/>
          </w:tcPr>
          <w:p w:rsidR="0038355C" w:rsidRPr="0038355C" w:rsidRDefault="0038355C" w:rsidP="0038355C">
            <w:pP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Заметка:</w:t>
            </w:r>
            <w:r w:rsidRPr="0038355C">
              <w:rPr>
                <w:rFonts w:ascii="Times New Roman" w:eastAsia="Times New Roman" w:hAnsi="Times New Roman" w:cs="Times New Roman"/>
                <w:sz w:val="24"/>
                <w:szCs w:val="24"/>
                <w:lang w:val="ru-RU" w:eastAsia="ru-RU"/>
              </w:rPr>
              <w:t xml:space="preserve"> </w:t>
            </w:r>
          </w:p>
        </w:tc>
        <w:tc>
          <w:tcPr>
            <w:tcW w:w="0" w:type="auto"/>
            <w:shd w:val="clear" w:color="auto" w:fill="FFCC00"/>
            <w:vAlign w:val="center"/>
            <w:hideMark/>
          </w:tcPr>
          <w:p w:rsidR="0038355C" w:rsidRPr="0038355C" w:rsidRDefault="0038355C" w:rsidP="0038355C">
            <w:pP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В таблицах 2, 3 и 4 показаны общие тенденции старения обычных </w:t>
            </w:r>
            <w:proofErr w:type="spellStart"/>
            <w:proofErr w:type="gramStart"/>
            <w:r w:rsidRPr="0038355C">
              <w:rPr>
                <w:rFonts w:ascii="Times New Roman" w:eastAsia="Times New Roman" w:hAnsi="Times New Roman" w:cs="Times New Roman"/>
                <w:sz w:val="24"/>
                <w:szCs w:val="24"/>
                <w:lang w:val="ru-RU" w:eastAsia="ru-RU"/>
              </w:rPr>
              <w:t>литий-ионных</w:t>
            </w:r>
            <w:proofErr w:type="spellEnd"/>
            <w:proofErr w:type="gramEnd"/>
            <w:r w:rsidRPr="0038355C">
              <w:rPr>
                <w:rFonts w:ascii="Times New Roman" w:eastAsia="Times New Roman" w:hAnsi="Times New Roman" w:cs="Times New Roman"/>
                <w:sz w:val="24"/>
                <w:szCs w:val="24"/>
                <w:lang w:val="ru-RU" w:eastAsia="ru-RU"/>
              </w:rPr>
              <w:t xml:space="preserve"> батарей на основе кобальта на уровнях глубины разряда, температуры и заряда, в таблице 6 также рассматриваются потери мощности при работе в заданных и полосах пропускания. В таблицах не учитываются сверхбыстрые зарядки и высокие нагрузки, которые сокращают срок службы батареи. Все батареи не действуют одинаково. </w:t>
            </w:r>
          </w:p>
        </w:tc>
      </w:tr>
    </w:tbl>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br/>
        <w:t xml:space="preserve">В таблице 2 указано количество циклов разряда / заряда. Литий-ион может доставляться на разных уровнях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до того, как емкость аккумулятора снизится до 70 процентов.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составляет полный заряд, за которым следует разряд до указанного уровня заряда (</w:t>
      </w:r>
      <w:proofErr w:type="spellStart"/>
      <w:r w:rsidRPr="0038355C">
        <w:rPr>
          <w:rFonts w:ascii="Times New Roman" w:eastAsia="Times New Roman" w:hAnsi="Times New Roman" w:cs="Times New Roman"/>
          <w:sz w:val="24"/>
          <w:szCs w:val="24"/>
          <w:lang w:val="ru-RU" w:eastAsia="ru-RU"/>
        </w:rPr>
        <w:t>SoC</w:t>
      </w:r>
      <w:proofErr w:type="spellEnd"/>
      <w:r w:rsidRPr="0038355C">
        <w:rPr>
          <w:rFonts w:ascii="Times New Roman" w:eastAsia="Times New Roman" w:hAnsi="Times New Roman" w:cs="Times New Roman"/>
          <w:sz w:val="24"/>
          <w:szCs w:val="24"/>
          <w:lang w:val="ru-RU" w:eastAsia="ru-RU"/>
        </w:rPr>
        <w:t xml:space="preserve">) в таблице. </w:t>
      </w:r>
    </w:p>
    <w:tbl>
      <w:tblPr>
        <w:tblW w:w="855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2442"/>
        <w:gridCol w:w="2450"/>
        <w:gridCol w:w="3658"/>
      </w:tblGrid>
      <w:tr w:rsidR="0038355C" w:rsidRPr="0038355C" w:rsidTr="00677A9D">
        <w:trPr>
          <w:tblCellSpacing w:w="0" w:type="dxa"/>
        </w:trPr>
        <w:tc>
          <w:tcPr>
            <w:tcW w:w="2520" w:type="dxa"/>
            <w:shd w:val="clear" w:color="auto" w:fill="E0E0E0"/>
            <w:vAlign w:val="center"/>
            <w:hideMark/>
          </w:tcPr>
          <w:p w:rsidR="0038355C" w:rsidRPr="0038355C" w:rsidRDefault="0038355C" w:rsidP="0038355C">
            <w:pPr>
              <w:spacing w:before="100" w:beforeAutospacing="1" w:after="100" w:afterAutospacing="1"/>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lastRenderedPageBreak/>
              <w:t>Глубина разряда</w:t>
            </w:r>
            <w:r w:rsidRPr="0038355C">
              <w:rPr>
                <w:rFonts w:ascii="Times New Roman" w:eastAsia="Times New Roman" w:hAnsi="Times New Roman" w:cs="Times New Roman"/>
                <w:sz w:val="24"/>
                <w:szCs w:val="24"/>
                <w:lang w:val="ru-RU" w:eastAsia="ru-RU"/>
              </w:rPr>
              <w:t xml:space="preserve"> </w:t>
            </w:r>
          </w:p>
        </w:tc>
        <w:tc>
          <w:tcPr>
            <w:tcW w:w="2520" w:type="dxa"/>
            <w:shd w:val="clear" w:color="auto" w:fill="E0E0E0"/>
            <w:vAlign w:val="center"/>
            <w:hideMark/>
          </w:tcPr>
          <w:p w:rsidR="0038355C" w:rsidRPr="0038355C" w:rsidRDefault="0038355C" w:rsidP="0038355C">
            <w:pPr>
              <w:spacing w:before="100" w:beforeAutospacing="1" w:after="100" w:afterAutospacing="1"/>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Циклы выгрузки</w:t>
            </w:r>
            <w:r w:rsidRPr="0038355C">
              <w:rPr>
                <w:rFonts w:ascii="Times New Roman" w:eastAsia="Times New Roman" w:hAnsi="Times New Roman" w:cs="Times New Roman"/>
                <w:sz w:val="24"/>
                <w:szCs w:val="24"/>
                <w:lang w:val="ru-RU" w:eastAsia="ru-RU"/>
              </w:rPr>
              <w:t xml:space="preserve"> </w:t>
            </w:r>
            <w:r w:rsidRPr="0038355C">
              <w:rPr>
                <w:rFonts w:ascii="Times New Roman" w:eastAsia="Times New Roman" w:hAnsi="Times New Roman" w:cs="Times New Roman"/>
                <w:sz w:val="24"/>
                <w:szCs w:val="24"/>
                <w:lang w:val="ru-RU" w:eastAsia="ru-RU"/>
              </w:rPr>
              <w:br/>
              <w:t xml:space="preserve">(NMC / LiPO4) </w:t>
            </w:r>
          </w:p>
        </w:tc>
        <w:tc>
          <w:tcPr>
            <w:tcW w:w="3735" w:type="dxa"/>
            <w:vMerge w:val="restart"/>
            <w:vAlign w:val="center"/>
            <w:hideMark/>
          </w:tcPr>
          <w:p w:rsidR="0038355C" w:rsidRPr="0038355C" w:rsidRDefault="0038355C" w:rsidP="0038355C">
            <w:pPr>
              <w:spacing w:before="100" w:beforeAutospacing="1" w:after="100" w:afterAutospacing="1"/>
              <w:ind w:left="259"/>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 xml:space="preserve">Таблица 2: Срок службы цикла в зависимости </w:t>
            </w:r>
            <w:proofErr w:type="gramStart"/>
            <w:r w:rsidRPr="0038355C">
              <w:rPr>
                <w:rFonts w:ascii="Times New Roman" w:eastAsia="Times New Roman" w:hAnsi="Times New Roman" w:cs="Times New Roman"/>
                <w:b/>
                <w:bCs/>
                <w:sz w:val="24"/>
                <w:szCs w:val="24"/>
                <w:lang w:val="ru-RU" w:eastAsia="ru-RU"/>
              </w:rPr>
              <w:t>от</w:t>
            </w:r>
            <w:proofErr w:type="gramEnd"/>
            <w:r w:rsidRPr="0038355C">
              <w:rPr>
                <w:rFonts w:ascii="Times New Roman" w:eastAsia="Times New Roman" w:hAnsi="Times New Roman" w:cs="Times New Roman"/>
                <w:sz w:val="24"/>
                <w:szCs w:val="24"/>
                <w:lang w:val="ru-RU" w:eastAsia="ru-RU"/>
              </w:rPr>
              <w:t xml:space="preserve"> </w:t>
            </w:r>
            <w:r w:rsidRPr="0038355C">
              <w:rPr>
                <w:rFonts w:ascii="Times New Roman" w:eastAsia="Times New Roman" w:hAnsi="Times New Roman" w:cs="Times New Roman"/>
                <w:b/>
                <w:bCs/>
                <w:sz w:val="24"/>
                <w:szCs w:val="24"/>
                <w:lang w:val="ru-RU" w:eastAsia="ru-RU"/>
              </w:rPr>
              <w:br/>
            </w:r>
            <w:proofErr w:type="gramStart"/>
            <w:r w:rsidRPr="0038355C">
              <w:rPr>
                <w:rFonts w:ascii="Times New Roman" w:eastAsia="Times New Roman" w:hAnsi="Times New Roman" w:cs="Times New Roman"/>
                <w:b/>
                <w:bCs/>
                <w:sz w:val="24"/>
                <w:szCs w:val="24"/>
                <w:lang w:val="ru-RU" w:eastAsia="ru-RU"/>
              </w:rPr>
              <w:t>глубина</w:t>
            </w:r>
            <w:proofErr w:type="gramEnd"/>
            <w:r w:rsidRPr="0038355C">
              <w:rPr>
                <w:rFonts w:ascii="Times New Roman" w:eastAsia="Times New Roman" w:hAnsi="Times New Roman" w:cs="Times New Roman"/>
                <w:b/>
                <w:bCs/>
                <w:sz w:val="24"/>
                <w:szCs w:val="24"/>
                <w:lang w:val="ru-RU" w:eastAsia="ru-RU"/>
              </w:rPr>
              <w:t xml:space="preserve"> разряда.</w:t>
            </w:r>
            <w:r w:rsidRPr="0038355C">
              <w:rPr>
                <w:rFonts w:ascii="Times New Roman" w:eastAsia="Times New Roman" w:hAnsi="Times New Roman" w:cs="Times New Roman"/>
                <w:sz w:val="24"/>
                <w:szCs w:val="24"/>
                <w:lang w:val="ru-RU" w:eastAsia="ru-RU"/>
              </w:rPr>
              <w:t xml:space="preserve"> Частичный разряд уменьшает напряжение и продлевает срок службы батареи, так что происходит частичный заряд. Повышенная температура и высокие токи также влияют на срок службы.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b/>
                <w:bCs/>
                <w:sz w:val="24"/>
                <w:szCs w:val="24"/>
                <w:lang w:val="ru-RU" w:eastAsia="ru-RU"/>
              </w:rPr>
              <w:t>Примечание:</w:t>
            </w:r>
            <w:r w:rsidRPr="0038355C">
              <w:rPr>
                <w:rFonts w:ascii="Times New Roman" w:eastAsia="Times New Roman" w:hAnsi="Times New Roman" w:cs="Times New Roman"/>
                <w:sz w:val="24"/>
                <w:szCs w:val="24"/>
                <w:lang w:val="ru-RU" w:eastAsia="ru-RU"/>
              </w:rPr>
              <w:t xml:space="preserve"> 100%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 полный цикл; 10% - очень кратковременный. Велоспо</w:t>
            </w:r>
            <w:proofErr w:type="gramStart"/>
            <w:r w:rsidRPr="0038355C">
              <w:rPr>
                <w:rFonts w:ascii="Times New Roman" w:eastAsia="Times New Roman" w:hAnsi="Times New Roman" w:cs="Times New Roman"/>
                <w:sz w:val="24"/>
                <w:szCs w:val="24"/>
                <w:lang w:val="ru-RU" w:eastAsia="ru-RU"/>
              </w:rPr>
              <w:t>рт в ср</w:t>
            </w:r>
            <w:proofErr w:type="gramEnd"/>
            <w:r w:rsidRPr="0038355C">
              <w:rPr>
                <w:rFonts w:ascii="Times New Roman" w:eastAsia="Times New Roman" w:hAnsi="Times New Roman" w:cs="Times New Roman"/>
                <w:sz w:val="24"/>
                <w:szCs w:val="24"/>
                <w:lang w:val="ru-RU" w:eastAsia="ru-RU"/>
              </w:rPr>
              <w:t xml:space="preserve">еднем состоянии будет иметь лучшую долговечность. </w:t>
            </w:r>
          </w:p>
        </w:tc>
      </w:tr>
      <w:tr w:rsidR="0038355C" w:rsidRPr="0038355C" w:rsidTr="00677A9D">
        <w:trPr>
          <w:tblCellSpacing w:w="0" w:type="dxa"/>
        </w:trPr>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100%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w:t>
            </w:r>
          </w:p>
        </w:tc>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 300/600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80%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w:t>
            </w:r>
          </w:p>
        </w:tc>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 400/900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60%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w:t>
            </w:r>
          </w:p>
        </w:tc>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 600 / 1,500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40%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w:t>
            </w:r>
          </w:p>
        </w:tc>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 1,500 / 3000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20%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w:t>
            </w:r>
          </w:p>
        </w:tc>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 1,500 / 9,000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10%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xml:space="preserve"> </w:t>
            </w:r>
          </w:p>
        </w:tc>
        <w:tc>
          <w:tcPr>
            <w:tcW w:w="2520" w:type="dxa"/>
            <w:shd w:val="clear" w:color="auto" w:fill="EEEEEE"/>
            <w:vAlign w:val="center"/>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 10 000/15 000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bl>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br/>
        <w:t xml:space="preserve">Литий-ион страдает от стресса при воздействии тепла, поэтому удерживает ячейку при высоком напряжении заряда. Аккумулятор, находящийся выше 30 ° C (86 ° F), считается </w:t>
      </w:r>
      <w:r w:rsidRPr="0038355C">
        <w:rPr>
          <w:rFonts w:ascii="Times New Roman" w:eastAsia="Times New Roman" w:hAnsi="Times New Roman" w:cs="Times New Roman"/>
          <w:i/>
          <w:iCs/>
          <w:sz w:val="24"/>
          <w:szCs w:val="24"/>
          <w:lang w:val="ru-RU" w:eastAsia="ru-RU"/>
        </w:rPr>
        <w:t>повышенной температурой,</w:t>
      </w:r>
      <w:r w:rsidRPr="0038355C">
        <w:rPr>
          <w:rFonts w:ascii="Times New Roman" w:eastAsia="Times New Roman" w:hAnsi="Times New Roman" w:cs="Times New Roman"/>
          <w:sz w:val="24"/>
          <w:szCs w:val="24"/>
          <w:lang w:val="ru-RU" w:eastAsia="ru-RU"/>
        </w:rPr>
        <w:t xml:space="preserve"> и для большинства Li-ионов напряжение выше 4,10 В / ячейка считается </w:t>
      </w:r>
      <w:r w:rsidRPr="0038355C">
        <w:rPr>
          <w:rFonts w:ascii="Times New Roman" w:eastAsia="Times New Roman" w:hAnsi="Times New Roman" w:cs="Times New Roman"/>
          <w:i/>
          <w:iCs/>
          <w:sz w:val="24"/>
          <w:szCs w:val="24"/>
          <w:lang w:val="ru-RU" w:eastAsia="ru-RU"/>
        </w:rPr>
        <w:t>высоким напряжением</w:t>
      </w:r>
      <w:proofErr w:type="gramStart"/>
      <w:r w:rsidRPr="0038355C">
        <w:rPr>
          <w:rFonts w:ascii="Times New Roman" w:eastAsia="Times New Roman" w:hAnsi="Times New Roman" w:cs="Times New Roman"/>
          <w:sz w:val="24"/>
          <w:szCs w:val="24"/>
          <w:lang w:val="ru-RU" w:eastAsia="ru-RU"/>
        </w:rPr>
        <w:t xml:space="preserve"> .</w:t>
      </w:r>
      <w:proofErr w:type="gramEnd"/>
      <w:r w:rsidRPr="0038355C">
        <w:rPr>
          <w:rFonts w:ascii="Times New Roman" w:eastAsia="Times New Roman" w:hAnsi="Times New Roman" w:cs="Times New Roman"/>
          <w:sz w:val="24"/>
          <w:szCs w:val="24"/>
          <w:lang w:val="ru-RU" w:eastAsia="ru-RU"/>
        </w:rPr>
        <w:t xml:space="preserve"> Предоставление батареи высокой температуре и пребывание в полном состоянии в течение длительного времени может быть более напряженным, чем велоспорт. Таблица 3 демонстрирует потерю мощности как функцию температуры и </w:t>
      </w:r>
      <w:proofErr w:type="spellStart"/>
      <w:r w:rsidRPr="0038355C">
        <w:rPr>
          <w:rFonts w:ascii="Times New Roman" w:eastAsia="Times New Roman" w:hAnsi="Times New Roman" w:cs="Times New Roman"/>
          <w:sz w:val="24"/>
          <w:szCs w:val="24"/>
          <w:lang w:val="ru-RU" w:eastAsia="ru-RU"/>
        </w:rPr>
        <w:t>SoC</w:t>
      </w:r>
      <w:proofErr w:type="spellEnd"/>
      <w:r w:rsidRPr="0038355C">
        <w:rPr>
          <w:rFonts w:ascii="Times New Roman" w:eastAsia="Times New Roman" w:hAnsi="Times New Roman" w:cs="Times New Roman"/>
          <w:sz w:val="24"/>
          <w:szCs w:val="24"/>
          <w:lang w:val="ru-RU" w:eastAsia="ru-RU"/>
        </w:rPr>
        <w:t xml:space="preserve">. </w:t>
      </w:r>
    </w:p>
    <w:tbl>
      <w:tblPr>
        <w:tblW w:w="855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1698"/>
        <w:gridCol w:w="1599"/>
        <w:gridCol w:w="1610"/>
        <w:gridCol w:w="3643"/>
      </w:tblGrid>
      <w:tr w:rsidR="0038355C" w:rsidRPr="0038355C" w:rsidTr="00677A9D">
        <w:trPr>
          <w:tblCellSpacing w:w="0" w:type="dxa"/>
        </w:trPr>
        <w:tc>
          <w:tcPr>
            <w:tcW w:w="0" w:type="auto"/>
            <w:shd w:val="clear" w:color="auto" w:fill="E0E0E0"/>
            <w:vAlign w:val="center"/>
            <w:hideMark/>
          </w:tcPr>
          <w:p w:rsidR="0038355C" w:rsidRPr="0038355C" w:rsidRDefault="0038355C" w:rsidP="0038355C">
            <w:pPr>
              <w:spacing w:before="100" w:beforeAutospacing="1" w:after="100" w:afterAutospacing="1"/>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температура</w:t>
            </w:r>
            <w:r w:rsidRPr="0038355C">
              <w:rPr>
                <w:rFonts w:ascii="Times New Roman" w:eastAsia="Times New Roman" w:hAnsi="Times New Roman" w:cs="Times New Roman"/>
                <w:sz w:val="24"/>
                <w:szCs w:val="24"/>
                <w:lang w:val="ru-RU" w:eastAsia="ru-RU"/>
              </w:rPr>
              <w:t xml:space="preserve"> </w:t>
            </w:r>
          </w:p>
        </w:tc>
        <w:tc>
          <w:tcPr>
            <w:tcW w:w="0" w:type="auto"/>
            <w:shd w:val="clear" w:color="auto" w:fill="E0E0E0"/>
            <w:vAlign w:val="center"/>
            <w:hideMark/>
          </w:tcPr>
          <w:p w:rsidR="0038355C" w:rsidRPr="0038355C" w:rsidRDefault="0038355C" w:rsidP="0038355C">
            <w:pPr>
              <w:spacing w:before="100" w:beforeAutospacing="1" w:after="100" w:afterAutospacing="1"/>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40% заряда</w:t>
            </w:r>
            <w:r w:rsidRPr="0038355C">
              <w:rPr>
                <w:rFonts w:ascii="Times New Roman" w:eastAsia="Times New Roman" w:hAnsi="Times New Roman" w:cs="Times New Roman"/>
                <w:sz w:val="24"/>
                <w:szCs w:val="24"/>
                <w:lang w:val="ru-RU" w:eastAsia="ru-RU"/>
              </w:rPr>
              <w:t xml:space="preserve"> </w:t>
            </w:r>
          </w:p>
        </w:tc>
        <w:tc>
          <w:tcPr>
            <w:tcW w:w="0" w:type="auto"/>
            <w:shd w:val="clear" w:color="auto" w:fill="E0E0E0"/>
            <w:vAlign w:val="center"/>
            <w:hideMark/>
          </w:tcPr>
          <w:p w:rsidR="0038355C" w:rsidRPr="0038355C" w:rsidRDefault="0038355C" w:rsidP="0038355C">
            <w:pPr>
              <w:spacing w:before="100" w:beforeAutospacing="1" w:after="100" w:afterAutospacing="1"/>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100% заряд</w:t>
            </w:r>
            <w:r w:rsidRPr="0038355C">
              <w:rPr>
                <w:rFonts w:ascii="Times New Roman" w:eastAsia="Times New Roman" w:hAnsi="Times New Roman" w:cs="Times New Roman"/>
                <w:sz w:val="24"/>
                <w:szCs w:val="24"/>
                <w:lang w:val="ru-RU" w:eastAsia="ru-RU"/>
              </w:rPr>
              <w:t xml:space="preserve"> </w:t>
            </w:r>
          </w:p>
        </w:tc>
        <w:tc>
          <w:tcPr>
            <w:tcW w:w="3900" w:type="dxa"/>
            <w:vMerge w:val="restart"/>
            <w:vAlign w:val="center"/>
            <w:hideMark/>
          </w:tcPr>
          <w:p w:rsidR="0038355C" w:rsidRPr="0038355C" w:rsidRDefault="0038355C" w:rsidP="0038355C">
            <w:pPr>
              <w:spacing w:before="100" w:beforeAutospacing="1" w:after="100" w:afterAutospacing="1"/>
              <w:ind w:left="259"/>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 xml:space="preserve">Таблица 3: Расчетная способность к извлечению при хранении </w:t>
            </w:r>
            <w:proofErr w:type="spellStart"/>
            <w:r w:rsidRPr="0038355C">
              <w:rPr>
                <w:rFonts w:ascii="Times New Roman" w:eastAsia="Times New Roman" w:hAnsi="Times New Roman" w:cs="Times New Roman"/>
                <w:b/>
                <w:bCs/>
                <w:sz w:val="24"/>
                <w:szCs w:val="24"/>
                <w:lang w:val="ru-RU" w:eastAsia="ru-RU"/>
              </w:rPr>
              <w:t>Li-ion</w:t>
            </w:r>
            <w:proofErr w:type="spellEnd"/>
            <w:r w:rsidRPr="0038355C">
              <w:rPr>
                <w:rFonts w:ascii="Times New Roman" w:eastAsia="Times New Roman" w:hAnsi="Times New Roman" w:cs="Times New Roman"/>
                <w:b/>
                <w:bCs/>
                <w:sz w:val="24"/>
                <w:szCs w:val="24"/>
                <w:lang w:val="ru-RU" w:eastAsia="ru-RU"/>
              </w:rPr>
              <w:t xml:space="preserve"> в течение одного года при различных температурах.</w:t>
            </w:r>
            <w:r w:rsidRPr="0038355C">
              <w:rPr>
                <w:rFonts w:ascii="Times New Roman" w:eastAsia="Times New Roman" w:hAnsi="Times New Roman" w:cs="Times New Roman"/>
                <w:sz w:val="24"/>
                <w:szCs w:val="24"/>
                <w:lang w:val="ru-RU" w:eastAsia="ru-RU"/>
              </w:rPr>
              <w:t xml:space="preserve"> Повышенная температура ускоряет потерю постоянной мощности. Не все </w:t>
            </w:r>
            <w:proofErr w:type="spellStart"/>
            <w:proofErr w:type="gramStart"/>
            <w:r w:rsidRPr="0038355C">
              <w:rPr>
                <w:rFonts w:ascii="Times New Roman" w:eastAsia="Times New Roman" w:hAnsi="Times New Roman" w:cs="Times New Roman"/>
                <w:sz w:val="24"/>
                <w:szCs w:val="24"/>
                <w:lang w:val="ru-RU" w:eastAsia="ru-RU"/>
              </w:rPr>
              <w:t>литий-ионные</w:t>
            </w:r>
            <w:proofErr w:type="spellEnd"/>
            <w:proofErr w:type="gramEnd"/>
            <w:r w:rsidRPr="0038355C">
              <w:rPr>
                <w:rFonts w:ascii="Times New Roman" w:eastAsia="Times New Roman" w:hAnsi="Times New Roman" w:cs="Times New Roman"/>
                <w:sz w:val="24"/>
                <w:szCs w:val="24"/>
                <w:lang w:val="ru-RU" w:eastAsia="ru-RU"/>
              </w:rPr>
              <w:t xml:space="preserve"> системы ведут себя одинаково. </w:t>
            </w: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От 0 ° C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98%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94%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25 &amp; </w:t>
            </w:r>
            <w:proofErr w:type="spellStart"/>
            <w:r w:rsidRPr="0038355C">
              <w:rPr>
                <w:rFonts w:ascii="Times New Roman" w:eastAsia="Times New Roman" w:hAnsi="Times New Roman" w:cs="Times New Roman"/>
                <w:sz w:val="24"/>
                <w:szCs w:val="24"/>
                <w:lang w:val="ru-RU" w:eastAsia="ru-RU"/>
              </w:rPr>
              <w:t>deg</w:t>
            </w:r>
            <w:proofErr w:type="spellEnd"/>
            <w:r w:rsidRPr="0038355C">
              <w:rPr>
                <w:rFonts w:ascii="Times New Roman" w:eastAsia="Times New Roman" w:hAnsi="Times New Roman" w:cs="Times New Roman"/>
                <w:sz w:val="24"/>
                <w:szCs w:val="24"/>
                <w:lang w:val="ru-RU" w:eastAsia="ru-RU"/>
              </w:rPr>
              <w:t xml:space="preserve">; С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96%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80%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40 &amp; </w:t>
            </w:r>
            <w:proofErr w:type="spellStart"/>
            <w:r w:rsidRPr="0038355C">
              <w:rPr>
                <w:rFonts w:ascii="Times New Roman" w:eastAsia="Times New Roman" w:hAnsi="Times New Roman" w:cs="Times New Roman"/>
                <w:sz w:val="24"/>
                <w:szCs w:val="24"/>
                <w:lang w:val="ru-RU" w:eastAsia="ru-RU"/>
              </w:rPr>
              <w:t>deg</w:t>
            </w:r>
            <w:proofErr w:type="spellEnd"/>
            <w:r w:rsidRPr="0038355C">
              <w:rPr>
                <w:rFonts w:ascii="Times New Roman" w:eastAsia="Times New Roman" w:hAnsi="Times New Roman" w:cs="Times New Roman"/>
                <w:sz w:val="24"/>
                <w:szCs w:val="24"/>
                <w:lang w:val="ru-RU" w:eastAsia="ru-RU"/>
              </w:rPr>
              <w:t xml:space="preserve">; С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85%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65%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60 &amp; </w:t>
            </w:r>
            <w:proofErr w:type="spellStart"/>
            <w:r w:rsidRPr="0038355C">
              <w:rPr>
                <w:rFonts w:ascii="Times New Roman" w:eastAsia="Times New Roman" w:hAnsi="Times New Roman" w:cs="Times New Roman"/>
                <w:sz w:val="24"/>
                <w:szCs w:val="24"/>
                <w:lang w:val="ru-RU" w:eastAsia="ru-RU"/>
              </w:rPr>
              <w:t>deg</w:t>
            </w:r>
            <w:proofErr w:type="spellEnd"/>
            <w:r w:rsidRPr="0038355C">
              <w:rPr>
                <w:rFonts w:ascii="Times New Roman" w:eastAsia="Times New Roman" w:hAnsi="Times New Roman" w:cs="Times New Roman"/>
                <w:sz w:val="24"/>
                <w:szCs w:val="24"/>
                <w:lang w:val="ru-RU" w:eastAsia="ru-RU"/>
              </w:rPr>
              <w:t xml:space="preserve">; С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75%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60% </w:t>
            </w:r>
            <w:r w:rsidRPr="0038355C">
              <w:rPr>
                <w:rFonts w:ascii="Times New Roman" w:eastAsia="Times New Roman" w:hAnsi="Times New Roman" w:cs="Times New Roman"/>
                <w:sz w:val="24"/>
                <w:szCs w:val="24"/>
                <w:lang w:val="ru-RU" w:eastAsia="ru-RU"/>
              </w:rPr>
              <w:br/>
              <w:t xml:space="preserve">(через 3 месяца)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bl>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Большинство ионов Li-ионов заряжаются до 4,20</w:t>
      </w:r>
      <w:proofErr w:type="gramStart"/>
      <w:r w:rsidRPr="0038355C">
        <w:rPr>
          <w:rFonts w:ascii="Times New Roman" w:eastAsia="Times New Roman" w:hAnsi="Times New Roman" w:cs="Times New Roman"/>
          <w:sz w:val="24"/>
          <w:szCs w:val="24"/>
          <w:lang w:val="ru-RU" w:eastAsia="ru-RU"/>
        </w:rPr>
        <w:t xml:space="preserve"> В</w:t>
      </w:r>
      <w:proofErr w:type="gramEnd"/>
      <w:r w:rsidRPr="0038355C">
        <w:rPr>
          <w:rFonts w:ascii="Times New Roman" w:eastAsia="Times New Roman" w:hAnsi="Times New Roman" w:cs="Times New Roman"/>
          <w:sz w:val="24"/>
          <w:szCs w:val="24"/>
          <w:lang w:val="ru-RU" w:eastAsia="ru-RU"/>
        </w:rPr>
        <w:t xml:space="preserve"> / ячейку, и каждое снижение пикового напряжения заряда 0,10 В / ячейка, как говорят, удваивает срок службы. Например, </w:t>
      </w:r>
      <w:proofErr w:type="spellStart"/>
      <w:r w:rsidRPr="0038355C">
        <w:rPr>
          <w:rFonts w:ascii="Times New Roman" w:eastAsia="Times New Roman" w:hAnsi="Times New Roman" w:cs="Times New Roman"/>
          <w:sz w:val="24"/>
          <w:szCs w:val="24"/>
          <w:lang w:val="ru-RU" w:eastAsia="ru-RU"/>
        </w:rPr>
        <w:t>литий-ионная</w:t>
      </w:r>
      <w:proofErr w:type="spellEnd"/>
      <w:r w:rsidRPr="0038355C">
        <w:rPr>
          <w:rFonts w:ascii="Times New Roman" w:eastAsia="Times New Roman" w:hAnsi="Times New Roman" w:cs="Times New Roman"/>
          <w:sz w:val="24"/>
          <w:szCs w:val="24"/>
          <w:lang w:val="ru-RU" w:eastAsia="ru-RU"/>
        </w:rPr>
        <w:t xml:space="preserve"> ячейка, заряженная до 4,20</w:t>
      </w:r>
      <w:proofErr w:type="gramStart"/>
      <w:r w:rsidRPr="0038355C">
        <w:rPr>
          <w:rFonts w:ascii="Times New Roman" w:eastAsia="Times New Roman" w:hAnsi="Times New Roman" w:cs="Times New Roman"/>
          <w:sz w:val="24"/>
          <w:szCs w:val="24"/>
          <w:lang w:val="ru-RU" w:eastAsia="ru-RU"/>
        </w:rPr>
        <w:t xml:space="preserve"> В</w:t>
      </w:r>
      <w:proofErr w:type="gramEnd"/>
      <w:r w:rsidRPr="0038355C">
        <w:rPr>
          <w:rFonts w:ascii="Times New Roman" w:eastAsia="Times New Roman" w:hAnsi="Times New Roman" w:cs="Times New Roman"/>
          <w:sz w:val="24"/>
          <w:szCs w:val="24"/>
          <w:lang w:val="ru-RU" w:eastAsia="ru-RU"/>
        </w:rPr>
        <w:t xml:space="preserve"> / ячейка, обычно обеспечивает 300-500 циклов. Если он заряжен только на 4.10V / </w:t>
      </w:r>
      <w:proofErr w:type="spellStart"/>
      <w:r w:rsidRPr="0038355C">
        <w:rPr>
          <w:rFonts w:ascii="Times New Roman" w:eastAsia="Times New Roman" w:hAnsi="Times New Roman" w:cs="Times New Roman"/>
          <w:sz w:val="24"/>
          <w:szCs w:val="24"/>
          <w:lang w:val="ru-RU" w:eastAsia="ru-RU"/>
        </w:rPr>
        <w:t>cell</w:t>
      </w:r>
      <w:proofErr w:type="spellEnd"/>
      <w:r w:rsidRPr="0038355C">
        <w:rPr>
          <w:rFonts w:ascii="Times New Roman" w:eastAsia="Times New Roman" w:hAnsi="Times New Roman" w:cs="Times New Roman"/>
          <w:sz w:val="24"/>
          <w:szCs w:val="24"/>
          <w:lang w:val="ru-RU" w:eastAsia="ru-RU"/>
        </w:rPr>
        <w:t xml:space="preserve">, срок службы может быть увеличен до 600-1000 циклов; 4.0V / </w:t>
      </w:r>
      <w:proofErr w:type="spellStart"/>
      <w:r w:rsidRPr="0038355C">
        <w:rPr>
          <w:rFonts w:ascii="Times New Roman" w:eastAsia="Times New Roman" w:hAnsi="Times New Roman" w:cs="Times New Roman"/>
          <w:sz w:val="24"/>
          <w:szCs w:val="24"/>
          <w:lang w:val="ru-RU" w:eastAsia="ru-RU"/>
        </w:rPr>
        <w:t>cell</w:t>
      </w:r>
      <w:proofErr w:type="spellEnd"/>
      <w:r w:rsidRPr="0038355C">
        <w:rPr>
          <w:rFonts w:ascii="Times New Roman" w:eastAsia="Times New Roman" w:hAnsi="Times New Roman" w:cs="Times New Roman"/>
          <w:sz w:val="24"/>
          <w:szCs w:val="24"/>
          <w:lang w:val="ru-RU" w:eastAsia="ru-RU"/>
        </w:rPr>
        <w:t xml:space="preserve"> должно доставлять 1200-2000 и 3,90</w:t>
      </w:r>
      <w:proofErr w:type="gramStart"/>
      <w:r w:rsidRPr="0038355C">
        <w:rPr>
          <w:rFonts w:ascii="Times New Roman" w:eastAsia="Times New Roman" w:hAnsi="Times New Roman" w:cs="Times New Roman"/>
          <w:sz w:val="24"/>
          <w:szCs w:val="24"/>
          <w:lang w:val="ru-RU" w:eastAsia="ru-RU"/>
        </w:rPr>
        <w:t xml:space="preserve"> В</w:t>
      </w:r>
      <w:proofErr w:type="gramEnd"/>
      <w:r w:rsidRPr="0038355C">
        <w:rPr>
          <w:rFonts w:ascii="Times New Roman" w:eastAsia="Times New Roman" w:hAnsi="Times New Roman" w:cs="Times New Roman"/>
          <w:sz w:val="24"/>
          <w:szCs w:val="24"/>
          <w:lang w:val="ru-RU" w:eastAsia="ru-RU"/>
        </w:rPr>
        <w:t xml:space="preserve"> / ячейку, чтобы обеспечить 2400-4000 циклов.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 xml:space="preserve">С отрицательной стороны нижнее пиковое напряжение заряда уменьшает емкость, которую сохраняет аккумулятор. В качестве простого руководства, каждые 70 мВ снижение заряда </w:t>
      </w:r>
      <w:proofErr w:type="spellStart"/>
      <w:proofErr w:type="gramStart"/>
      <w:r w:rsidRPr="0038355C">
        <w:rPr>
          <w:rFonts w:ascii="Times New Roman" w:eastAsia="Times New Roman" w:hAnsi="Times New Roman" w:cs="Times New Roman"/>
          <w:sz w:val="24"/>
          <w:szCs w:val="24"/>
          <w:lang w:val="ru-RU" w:eastAsia="ru-RU"/>
        </w:rPr>
        <w:t>заряда</w:t>
      </w:r>
      <w:proofErr w:type="spellEnd"/>
      <w:proofErr w:type="gramEnd"/>
      <w:r w:rsidRPr="0038355C">
        <w:rPr>
          <w:rFonts w:ascii="Times New Roman" w:eastAsia="Times New Roman" w:hAnsi="Times New Roman" w:cs="Times New Roman"/>
          <w:sz w:val="24"/>
          <w:szCs w:val="24"/>
          <w:lang w:val="ru-RU" w:eastAsia="ru-RU"/>
        </w:rPr>
        <w:t xml:space="preserve"> снижает общую мощность на 10 процентов. Применение пикового напряжения заряда при последующей зарядке восстановит полную мощность.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С точки зрения долговечности оптимальное напряжение заряда составляет 3,92</w:t>
      </w:r>
      <w:proofErr w:type="gramStart"/>
      <w:r w:rsidRPr="0038355C">
        <w:rPr>
          <w:rFonts w:ascii="Times New Roman" w:eastAsia="Times New Roman" w:hAnsi="Times New Roman" w:cs="Times New Roman"/>
          <w:sz w:val="24"/>
          <w:szCs w:val="24"/>
          <w:lang w:val="ru-RU" w:eastAsia="ru-RU"/>
        </w:rPr>
        <w:t xml:space="preserve"> В</w:t>
      </w:r>
      <w:proofErr w:type="gramEnd"/>
      <w:r w:rsidRPr="0038355C">
        <w:rPr>
          <w:rFonts w:ascii="Times New Roman" w:eastAsia="Times New Roman" w:hAnsi="Times New Roman" w:cs="Times New Roman"/>
          <w:sz w:val="24"/>
          <w:szCs w:val="24"/>
          <w:lang w:val="ru-RU" w:eastAsia="ru-RU"/>
        </w:rPr>
        <w:t xml:space="preserve"> / ячейку. Эксперты батареи считают, что этот порог устраняет все напряжения, связанные с напряжением; снижение уровня может не принести дополнительных преимуществ, а вызвать другие симптомы. В таблице 4 суммируется емкость как функция уровней заряда. (Все значения оцениваются, энергетические ячейки с более высоким порогом напряжения могут отклоняться.) </w:t>
      </w:r>
    </w:p>
    <w:tbl>
      <w:tblPr>
        <w:tblW w:w="855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1631"/>
        <w:gridCol w:w="1673"/>
        <w:gridCol w:w="1672"/>
        <w:gridCol w:w="3574"/>
      </w:tblGrid>
      <w:tr w:rsidR="0038355C" w:rsidRPr="0038355C" w:rsidTr="00677A9D">
        <w:trPr>
          <w:tblCellSpacing w:w="0" w:type="dxa"/>
        </w:trPr>
        <w:tc>
          <w:tcPr>
            <w:tcW w:w="1695" w:type="dxa"/>
            <w:shd w:val="clear" w:color="auto" w:fill="E0E0E0"/>
            <w:vAlign w:val="center"/>
            <w:hideMark/>
          </w:tcPr>
          <w:p w:rsidR="0038355C" w:rsidRPr="0038355C" w:rsidRDefault="0038355C" w:rsidP="0038355C">
            <w:pPr>
              <w:spacing w:before="100" w:beforeAutospacing="1" w:after="100" w:afterAutospacing="1"/>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lastRenderedPageBreak/>
              <w:t>Уровень заряда</w:t>
            </w:r>
            <w:r w:rsidRPr="0038355C">
              <w:rPr>
                <w:rFonts w:ascii="Times New Roman" w:eastAsia="Times New Roman" w:hAnsi="Times New Roman" w:cs="Times New Roman"/>
                <w:sz w:val="24"/>
                <w:szCs w:val="24"/>
                <w:lang w:val="ru-RU" w:eastAsia="ru-RU"/>
              </w:rPr>
              <w:t xml:space="preserve"> (V / </w:t>
            </w:r>
            <w:proofErr w:type="spellStart"/>
            <w:r w:rsidRPr="0038355C">
              <w:rPr>
                <w:rFonts w:ascii="Times New Roman" w:eastAsia="Times New Roman" w:hAnsi="Times New Roman" w:cs="Times New Roman"/>
                <w:sz w:val="24"/>
                <w:szCs w:val="24"/>
                <w:lang w:val="ru-RU" w:eastAsia="ru-RU"/>
              </w:rPr>
              <w:t>cell</w:t>
            </w:r>
            <w:proofErr w:type="spellEnd"/>
            <w:r w:rsidRPr="0038355C">
              <w:rPr>
                <w:rFonts w:ascii="Times New Roman" w:eastAsia="Times New Roman" w:hAnsi="Times New Roman" w:cs="Times New Roman"/>
                <w:sz w:val="24"/>
                <w:szCs w:val="24"/>
                <w:lang w:val="ru-RU" w:eastAsia="ru-RU"/>
              </w:rPr>
              <w:t xml:space="preserve">) </w:t>
            </w:r>
          </w:p>
        </w:tc>
        <w:tc>
          <w:tcPr>
            <w:tcW w:w="1695" w:type="dxa"/>
            <w:shd w:val="clear" w:color="auto" w:fill="E0E0E0"/>
            <w:vAlign w:val="center"/>
            <w:hideMark/>
          </w:tcPr>
          <w:p w:rsidR="0038355C" w:rsidRPr="0038355C" w:rsidRDefault="0038355C" w:rsidP="0038355C">
            <w:pPr>
              <w:spacing w:before="100" w:beforeAutospacing="1" w:after="100" w:afterAutospacing="1"/>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Циклы выгрузки</w:t>
            </w:r>
            <w:r w:rsidRPr="0038355C">
              <w:rPr>
                <w:rFonts w:ascii="Times New Roman" w:eastAsia="Times New Roman" w:hAnsi="Times New Roman" w:cs="Times New Roman"/>
                <w:sz w:val="24"/>
                <w:szCs w:val="24"/>
                <w:lang w:val="ru-RU" w:eastAsia="ru-RU"/>
              </w:rPr>
              <w:t xml:space="preserve"> </w:t>
            </w:r>
          </w:p>
        </w:tc>
        <w:tc>
          <w:tcPr>
            <w:tcW w:w="1695" w:type="dxa"/>
            <w:shd w:val="clear" w:color="auto" w:fill="E0E0E0"/>
            <w:vAlign w:val="center"/>
            <w:hideMark/>
          </w:tcPr>
          <w:p w:rsidR="0038355C" w:rsidRPr="0038355C" w:rsidRDefault="0038355C" w:rsidP="0038355C">
            <w:pPr>
              <w:spacing w:before="100" w:beforeAutospacing="1" w:after="100" w:afterAutospacing="1"/>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Доступная запасенная энергия</w:t>
            </w:r>
            <w:r w:rsidRPr="0038355C">
              <w:rPr>
                <w:rFonts w:ascii="Times New Roman" w:eastAsia="Times New Roman" w:hAnsi="Times New Roman" w:cs="Times New Roman"/>
                <w:sz w:val="24"/>
                <w:szCs w:val="24"/>
                <w:lang w:val="ru-RU" w:eastAsia="ru-RU"/>
              </w:rPr>
              <w:t xml:space="preserve"> </w:t>
            </w:r>
          </w:p>
        </w:tc>
        <w:tc>
          <w:tcPr>
            <w:tcW w:w="3825" w:type="dxa"/>
            <w:vMerge w:val="restart"/>
            <w:vAlign w:val="center"/>
            <w:hideMark/>
          </w:tcPr>
          <w:p w:rsidR="0038355C" w:rsidRPr="0038355C" w:rsidRDefault="0038355C" w:rsidP="0038355C">
            <w:pPr>
              <w:spacing w:before="100" w:beforeAutospacing="1" w:after="100" w:afterAutospacing="1"/>
              <w:ind w:left="259"/>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Таблица 4: Циклы разряда и емкость в зависимости от предела напряжения заряда.</w:t>
            </w:r>
            <w:r w:rsidRPr="0038355C">
              <w:rPr>
                <w:rFonts w:ascii="Times New Roman" w:eastAsia="Times New Roman" w:hAnsi="Times New Roman" w:cs="Times New Roman"/>
                <w:sz w:val="24"/>
                <w:szCs w:val="24"/>
                <w:lang w:val="ru-RU" w:eastAsia="ru-RU"/>
              </w:rPr>
              <w:t xml:space="preserve"> Каждое падение 0,10</w:t>
            </w:r>
            <w:proofErr w:type="gramStart"/>
            <w:r w:rsidRPr="0038355C">
              <w:rPr>
                <w:rFonts w:ascii="Times New Roman" w:eastAsia="Times New Roman" w:hAnsi="Times New Roman" w:cs="Times New Roman"/>
                <w:sz w:val="24"/>
                <w:szCs w:val="24"/>
                <w:lang w:val="ru-RU" w:eastAsia="ru-RU"/>
              </w:rPr>
              <w:t xml:space="preserve"> В</w:t>
            </w:r>
            <w:proofErr w:type="gramEnd"/>
            <w:r w:rsidRPr="0038355C">
              <w:rPr>
                <w:rFonts w:ascii="Times New Roman" w:eastAsia="Times New Roman" w:hAnsi="Times New Roman" w:cs="Times New Roman"/>
                <w:sz w:val="24"/>
                <w:szCs w:val="24"/>
                <w:lang w:val="ru-RU" w:eastAsia="ru-RU"/>
              </w:rPr>
              <w:t xml:space="preserve"> ниже 4.20V / </w:t>
            </w:r>
            <w:proofErr w:type="spellStart"/>
            <w:r w:rsidRPr="0038355C">
              <w:rPr>
                <w:rFonts w:ascii="Times New Roman" w:eastAsia="Times New Roman" w:hAnsi="Times New Roman" w:cs="Times New Roman"/>
                <w:sz w:val="24"/>
                <w:szCs w:val="24"/>
                <w:lang w:val="ru-RU" w:eastAsia="ru-RU"/>
              </w:rPr>
              <w:t>cell</w:t>
            </w:r>
            <w:proofErr w:type="spellEnd"/>
            <w:r w:rsidRPr="0038355C">
              <w:rPr>
                <w:rFonts w:ascii="Times New Roman" w:eastAsia="Times New Roman" w:hAnsi="Times New Roman" w:cs="Times New Roman"/>
                <w:sz w:val="24"/>
                <w:szCs w:val="24"/>
                <w:lang w:val="ru-RU" w:eastAsia="ru-RU"/>
              </w:rPr>
              <w:t xml:space="preserve"> удваивает цикл, но имеет меньшую емкость. Повышение напряжения выше 4.20V / </w:t>
            </w:r>
            <w:proofErr w:type="spellStart"/>
            <w:r w:rsidRPr="0038355C">
              <w:rPr>
                <w:rFonts w:ascii="Times New Roman" w:eastAsia="Times New Roman" w:hAnsi="Times New Roman" w:cs="Times New Roman"/>
                <w:sz w:val="24"/>
                <w:szCs w:val="24"/>
                <w:lang w:val="ru-RU" w:eastAsia="ru-RU"/>
              </w:rPr>
              <w:t>cell</w:t>
            </w:r>
            <w:proofErr w:type="spellEnd"/>
            <w:r w:rsidRPr="0038355C">
              <w:rPr>
                <w:rFonts w:ascii="Times New Roman" w:eastAsia="Times New Roman" w:hAnsi="Times New Roman" w:cs="Times New Roman"/>
                <w:sz w:val="24"/>
                <w:szCs w:val="24"/>
                <w:lang w:val="ru-RU" w:eastAsia="ru-RU"/>
              </w:rPr>
              <w:t xml:space="preserve"> приведет к сокращению срока службы. Показания отражают обычную </w:t>
            </w:r>
            <w:proofErr w:type="spellStart"/>
            <w:r w:rsidRPr="0038355C">
              <w:rPr>
                <w:rFonts w:ascii="Times New Roman" w:eastAsia="Times New Roman" w:hAnsi="Times New Roman" w:cs="Times New Roman"/>
                <w:sz w:val="24"/>
                <w:szCs w:val="24"/>
                <w:lang w:val="ru-RU" w:eastAsia="ru-RU"/>
              </w:rPr>
              <w:t>литий-ионную</w:t>
            </w:r>
            <w:proofErr w:type="spellEnd"/>
            <w:r w:rsidRPr="0038355C">
              <w:rPr>
                <w:rFonts w:ascii="Times New Roman" w:eastAsia="Times New Roman" w:hAnsi="Times New Roman" w:cs="Times New Roman"/>
                <w:sz w:val="24"/>
                <w:szCs w:val="24"/>
                <w:lang w:val="ru-RU" w:eastAsia="ru-RU"/>
              </w:rPr>
              <w:t xml:space="preserve"> зарядку до 4,20</w:t>
            </w:r>
            <w:proofErr w:type="gramStart"/>
            <w:r w:rsidRPr="0038355C">
              <w:rPr>
                <w:rFonts w:ascii="Times New Roman" w:eastAsia="Times New Roman" w:hAnsi="Times New Roman" w:cs="Times New Roman"/>
                <w:sz w:val="24"/>
                <w:szCs w:val="24"/>
                <w:lang w:val="ru-RU" w:eastAsia="ru-RU"/>
              </w:rPr>
              <w:t xml:space="preserve"> В</w:t>
            </w:r>
            <w:proofErr w:type="gramEnd"/>
            <w:r w:rsidRPr="0038355C">
              <w:rPr>
                <w:rFonts w:ascii="Times New Roman" w:eastAsia="Times New Roman" w:hAnsi="Times New Roman" w:cs="Times New Roman"/>
                <w:sz w:val="24"/>
                <w:szCs w:val="24"/>
                <w:lang w:val="ru-RU" w:eastAsia="ru-RU"/>
              </w:rPr>
              <w:t xml:space="preserve"> / ячейку. </w:t>
            </w:r>
          </w:p>
          <w:p w:rsidR="0038355C" w:rsidRPr="0038355C" w:rsidRDefault="0038355C" w:rsidP="0038355C">
            <w:pPr>
              <w:spacing w:before="100" w:beforeAutospacing="1" w:after="100" w:afterAutospacing="1"/>
              <w:ind w:left="259"/>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Руководящий</w:t>
            </w:r>
            <w:r w:rsidRPr="0038355C">
              <w:rPr>
                <w:rFonts w:ascii="Times New Roman" w:eastAsia="Times New Roman" w:hAnsi="Times New Roman" w:cs="Times New Roman"/>
                <w:sz w:val="24"/>
                <w:szCs w:val="24"/>
                <w:lang w:val="ru-RU" w:eastAsia="ru-RU"/>
              </w:rPr>
              <w:t xml:space="preserve"> принцип</w:t>
            </w:r>
            <w:proofErr w:type="gramStart"/>
            <w:r w:rsidRPr="0038355C">
              <w:rPr>
                <w:rFonts w:ascii="Times New Roman" w:eastAsia="Times New Roman" w:hAnsi="Times New Roman" w:cs="Times New Roman"/>
                <w:sz w:val="24"/>
                <w:szCs w:val="24"/>
                <w:lang w:val="ru-RU" w:eastAsia="ru-RU"/>
              </w:rPr>
              <w:t xml:space="preserve"> </w:t>
            </w:r>
            <w:r w:rsidRPr="0038355C">
              <w:rPr>
                <w:rFonts w:ascii="Times New Roman" w:eastAsia="Times New Roman" w:hAnsi="Times New Roman" w:cs="Times New Roman"/>
                <w:b/>
                <w:bCs/>
                <w:sz w:val="24"/>
                <w:szCs w:val="24"/>
                <w:lang w:val="ru-RU" w:eastAsia="ru-RU"/>
              </w:rPr>
              <w:t>:</w:t>
            </w:r>
            <w:proofErr w:type="gramEnd"/>
            <w:r w:rsidRPr="0038355C">
              <w:rPr>
                <w:rFonts w:ascii="Times New Roman" w:eastAsia="Times New Roman" w:hAnsi="Times New Roman" w:cs="Times New Roman"/>
                <w:sz w:val="24"/>
                <w:szCs w:val="24"/>
                <w:lang w:val="ru-RU" w:eastAsia="ru-RU"/>
              </w:rPr>
              <w:t xml:space="preserve"> каждое падение напряжения на 70 мВ снижает потребляемую мощность примерно на 10%.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b/>
                <w:bCs/>
                <w:sz w:val="24"/>
                <w:szCs w:val="24"/>
                <w:lang w:val="ru-RU" w:eastAsia="ru-RU"/>
              </w:rPr>
              <w:t>Примечание.</w:t>
            </w:r>
            <w:r w:rsidRPr="0038355C">
              <w:rPr>
                <w:rFonts w:ascii="Times New Roman" w:eastAsia="Times New Roman" w:hAnsi="Times New Roman" w:cs="Times New Roman"/>
                <w:sz w:val="24"/>
                <w:szCs w:val="24"/>
                <w:lang w:val="ru-RU" w:eastAsia="ru-RU"/>
              </w:rPr>
              <w:t xml:space="preserve"> Частичная зарядка отрицает преимущества Li-иона в терминах высокой удельной энергии. </w:t>
            </w: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[4,30]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[150-250]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[110-115%]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4,25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200-350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105-110%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4,20</w:t>
            </w:r>
            <w:r w:rsidRPr="0038355C">
              <w:rPr>
                <w:rFonts w:ascii="Times New Roman" w:eastAsia="Times New Roman" w:hAnsi="Times New Roman" w:cs="Times New Roman"/>
                <w:sz w:val="24"/>
                <w:szCs w:val="24"/>
                <w:lang w:val="ru-RU" w:eastAsia="ru-RU"/>
              </w:rPr>
              <w:t xml:space="preserve">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300-500</w:t>
            </w:r>
            <w:r w:rsidRPr="0038355C">
              <w:rPr>
                <w:rFonts w:ascii="Times New Roman" w:eastAsia="Times New Roman" w:hAnsi="Times New Roman" w:cs="Times New Roman"/>
                <w:sz w:val="24"/>
                <w:szCs w:val="24"/>
                <w:lang w:val="ru-RU" w:eastAsia="ru-RU"/>
              </w:rPr>
              <w:t xml:space="preserve">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100%</w:t>
            </w:r>
            <w:r w:rsidRPr="0038355C">
              <w:rPr>
                <w:rFonts w:ascii="Times New Roman" w:eastAsia="Times New Roman" w:hAnsi="Times New Roman" w:cs="Times New Roman"/>
                <w:sz w:val="24"/>
                <w:szCs w:val="24"/>
                <w:lang w:val="ru-RU" w:eastAsia="ru-RU"/>
              </w:rPr>
              <w:t xml:space="preserve">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4,15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400-700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90-95%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4,10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600-1000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85-90%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4,05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850-1,500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80-85%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4,00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1200-2000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70-75%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3,90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2,400-4,000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60-65%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3,80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Смотрите примечание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35-40%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r w:rsidR="0038355C" w:rsidRPr="0038355C" w:rsidTr="00677A9D">
        <w:trPr>
          <w:tblCellSpacing w:w="0" w:type="dxa"/>
        </w:trPr>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3,70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Смотрите примечание </w:t>
            </w:r>
          </w:p>
        </w:tc>
        <w:tc>
          <w:tcPr>
            <w:tcW w:w="1695" w:type="dxa"/>
            <w:shd w:val="clear" w:color="auto" w:fill="EEEEEE"/>
            <w:hideMark/>
          </w:tcPr>
          <w:p w:rsidR="0038355C" w:rsidRPr="0038355C" w:rsidRDefault="0038355C" w:rsidP="0038355C">
            <w:pPr>
              <w:jc w:val="cente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30% и менее </w:t>
            </w:r>
          </w:p>
        </w:tc>
        <w:tc>
          <w:tcPr>
            <w:tcW w:w="0" w:type="auto"/>
            <w:vMerge/>
            <w:vAlign w:val="center"/>
            <w:hideMark/>
          </w:tcPr>
          <w:p w:rsidR="0038355C" w:rsidRPr="0038355C" w:rsidRDefault="0038355C" w:rsidP="0038355C">
            <w:pPr>
              <w:rPr>
                <w:rFonts w:ascii="Times New Roman" w:eastAsia="Times New Roman" w:hAnsi="Times New Roman" w:cs="Times New Roman"/>
                <w:sz w:val="24"/>
                <w:szCs w:val="24"/>
                <w:lang w:val="ru-RU" w:eastAsia="ru-RU"/>
              </w:rPr>
            </w:pPr>
          </w:p>
        </w:tc>
      </w:tr>
    </w:tbl>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br/>
        <w:t>Большинство зарядных устрой</w:t>
      </w:r>
      <w:proofErr w:type="gramStart"/>
      <w:r w:rsidRPr="0038355C">
        <w:rPr>
          <w:rFonts w:ascii="Times New Roman" w:eastAsia="Times New Roman" w:hAnsi="Times New Roman" w:cs="Times New Roman"/>
          <w:sz w:val="24"/>
          <w:szCs w:val="24"/>
          <w:lang w:val="ru-RU" w:eastAsia="ru-RU"/>
        </w:rPr>
        <w:t>ств дл</w:t>
      </w:r>
      <w:proofErr w:type="gramEnd"/>
      <w:r w:rsidRPr="0038355C">
        <w:rPr>
          <w:rFonts w:ascii="Times New Roman" w:eastAsia="Times New Roman" w:hAnsi="Times New Roman" w:cs="Times New Roman"/>
          <w:sz w:val="24"/>
          <w:szCs w:val="24"/>
          <w:lang w:val="ru-RU" w:eastAsia="ru-RU"/>
        </w:rPr>
        <w:t xml:space="preserve">я мобильных телефонов, ноутбуков, планшетов и цифровых камер заряжают </w:t>
      </w:r>
      <w:proofErr w:type="spellStart"/>
      <w:r w:rsidRPr="0038355C">
        <w:rPr>
          <w:rFonts w:ascii="Times New Roman" w:eastAsia="Times New Roman" w:hAnsi="Times New Roman" w:cs="Times New Roman"/>
          <w:sz w:val="24"/>
          <w:szCs w:val="24"/>
          <w:lang w:val="ru-RU" w:eastAsia="ru-RU"/>
        </w:rPr>
        <w:t>Li-ion</w:t>
      </w:r>
      <w:proofErr w:type="spellEnd"/>
      <w:r w:rsidRPr="0038355C">
        <w:rPr>
          <w:rFonts w:ascii="Times New Roman" w:eastAsia="Times New Roman" w:hAnsi="Times New Roman" w:cs="Times New Roman"/>
          <w:sz w:val="24"/>
          <w:szCs w:val="24"/>
          <w:lang w:val="ru-RU" w:eastAsia="ru-RU"/>
        </w:rPr>
        <w:t xml:space="preserve"> до 4.20V / </w:t>
      </w:r>
      <w:proofErr w:type="spellStart"/>
      <w:r w:rsidRPr="0038355C">
        <w:rPr>
          <w:rFonts w:ascii="Times New Roman" w:eastAsia="Times New Roman" w:hAnsi="Times New Roman" w:cs="Times New Roman"/>
          <w:sz w:val="24"/>
          <w:szCs w:val="24"/>
          <w:lang w:val="ru-RU" w:eastAsia="ru-RU"/>
        </w:rPr>
        <w:t>cell</w:t>
      </w:r>
      <w:proofErr w:type="spellEnd"/>
      <w:r w:rsidRPr="0038355C">
        <w:rPr>
          <w:rFonts w:ascii="Times New Roman" w:eastAsia="Times New Roman" w:hAnsi="Times New Roman" w:cs="Times New Roman"/>
          <w:sz w:val="24"/>
          <w:szCs w:val="24"/>
          <w:lang w:val="ru-RU" w:eastAsia="ru-RU"/>
        </w:rPr>
        <w:t xml:space="preserve">. Это позволяет использовать максимальную емкость, поскольку потребитель хочет не что иное, как оптимальное время работы. С другой стороны, промышленность больше озабочена долговечностью и может выбирать более низкие пороги напряжения. Такими примерами являются спутники и электромобили.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 xml:space="preserve">По соображениям безопасности многие литиевые ионы не могут превышать 4.20V / </w:t>
      </w:r>
      <w:proofErr w:type="spellStart"/>
      <w:r w:rsidRPr="0038355C">
        <w:rPr>
          <w:rFonts w:ascii="Times New Roman" w:eastAsia="Times New Roman" w:hAnsi="Times New Roman" w:cs="Times New Roman"/>
          <w:sz w:val="24"/>
          <w:szCs w:val="24"/>
          <w:lang w:val="ru-RU" w:eastAsia="ru-RU"/>
        </w:rPr>
        <w:t>cell</w:t>
      </w:r>
      <w:proofErr w:type="spellEnd"/>
      <w:r w:rsidRPr="0038355C">
        <w:rPr>
          <w:rFonts w:ascii="Times New Roman" w:eastAsia="Times New Roman" w:hAnsi="Times New Roman" w:cs="Times New Roman"/>
          <w:sz w:val="24"/>
          <w:szCs w:val="24"/>
          <w:lang w:val="ru-RU" w:eastAsia="ru-RU"/>
        </w:rPr>
        <w:t>. (Исключение составляют некоторые NMC.) В то время как более высокое напряжение повышает производительность, превышение напряжения сокращает срок службы и ставит под угрозу безопасность. На рисунке 5 показано количество циклов в зависимости от напряжения заряда. При 4,35</w:t>
      </w:r>
      <w:proofErr w:type="gramStart"/>
      <w:r w:rsidRPr="0038355C">
        <w:rPr>
          <w:rFonts w:ascii="Times New Roman" w:eastAsia="Times New Roman" w:hAnsi="Times New Roman" w:cs="Times New Roman"/>
          <w:sz w:val="24"/>
          <w:szCs w:val="24"/>
          <w:lang w:val="ru-RU" w:eastAsia="ru-RU"/>
        </w:rPr>
        <w:t xml:space="preserve"> В</w:t>
      </w:r>
      <w:proofErr w:type="gramEnd"/>
      <w:r w:rsidRPr="0038355C">
        <w:rPr>
          <w:rFonts w:ascii="Times New Roman" w:eastAsia="Times New Roman" w:hAnsi="Times New Roman" w:cs="Times New Roman"/>
          <w:sz w:val="24"/>
          <w:szCs w:val="24"/>
          <w:lang w:val="ru-RU" w:eastAsia="ru-RU"/>
        </w:rPr>
        <w:t xml:space="preserve"> количество циклов регулярного Li-иона сокращается наполовину. </w:t>
      </w:r>
    </w:p>
    <w:tbl>
      <w:tblPr>
        <w:tblW w:w="8550" w:type="dxa"/>
        <w:tblCellSpacing w:w="0" w:type="dxa"/>
        <w:tblCellMar>
          <w:left w:w="0" w:type="dxa"/>
          <w:right w:w="0" w:type="dxa"/>
        </w:tblCellMar>
        <w:tblLook w:val="04A0"/>
      </w:tblPr>
      <w:tblGrid>
        <w:gridCol w:w="8550"/>
      </w:tblGrid>
      <w:tr w:rsidR="0038355C" w:rsidRPr="0038355C" w:rsidTr="0038355C">
        <w:trPr>
          <w:tblCellSpacing w:w="0" w:type="dxa"/>
        </w:trPr>
        <w:tc>
          <w:tcPr>
            <w:tcW w:w="6000" w:type="dxa"/>
            <w:vAlign w:val="center"/>
            <w:hideMark/>
          </w:tcPr>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4086225" cy="2752725"/>
                  <wp:effectExtent l="19050" t="0" r="9525" b="0"/>
                  <wp:docPr id="2" name="Рисунок 2" descr="Влияние на срок службы при повышенных напряжениях заря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лияние на срок службы при повышенных напряжениях заряда"/>
                          <pic:cNvPicPr>
                            <a:picLocks noChangeAspect="1" noChangeArrowheads="1"/>
                          </pic:cNvPicPr>
                        </pic:nvPicPr>
                        <pic:blipFill>
                          <a:blip r:embed="rId6"/>
                          <a:srcRect/>
                          <a:stretch>
                            <a:fillRect/>
                          </a:stretch>
                        </pic:blipFill>
                        <pic:spPr bwMode="auto">
                          <a:xfrm>
                            <a:off x="0" y="0"/>
                            <a:ext cx="4086225" cy="2752725"/>
                          </a:xfrm>
                          <a:prstGeom prst="rect">
                            <a:avLst/>
                          </a:prstGeom>
                          <a:noFill/>
                          <a:ln w="9525">
                            <a:noFill/>
                            <a:miter lim="800000"/>
                            <a:headEnd/>
                            <a:tailEnd/>
                          </a:ln>
                        </pic:spPr>
                      </pic:pic>
                    </a:graphicData>
                  </a:graphic>
                </wp:inline>
              </w:drawing>
            </w:r>
          </w:p>
        </w:tc>
      </w:tr>
      <w:tr w:rsidR="0038355C" w:rsidRPr="0038355C" w:rsidTr="0038355C">
        <w:trPr>
          <w:tblCellSpacing w:w="0" w:type="dxa"/>
        </w:trPr>
        <w:tc>
          <w:tcPr>
            <w:tcW w:w="6000" w:type="dxa"/>
            <w:vAlign w:val="center"/>
            <w:hideMark/>
          </w:tcPr>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Рисунок 5: Влияние на срок службы при повышенных напряжениях заряда.</w:t>
            </w:r>
            <w:r w:rsidRPr="0038355C">
              <w:rPr>
                <w:rFonts w:ascii="Times New Roman" w:eastAsia="Times New Roman" w:hAnsi="Times New Roman" w:cs="Times New Roman"/>
                <w:sz w:val="24"/>
                <w:szCs w:val="24"/>
                <w:lang w:val="ru-RU" w:eastAsia="ru-RU"/>
              </w:rPr>
              <w:t xml:space="preserve"> </w:t>
            </w:r>
            <w:r w:rsidRPr="0038355C">
              <w:rPr>
                <w:rFonts w:ascii="Times New Roman" w:eastAsia="Times New Roman" w:hAnsi="Times New Roman" w:cs="Times New Roman"/>
                <w:sz w:val="24"/>
                <w:szCs w:val="24"/>
                <w:lang w:val="ru-RU" w:eastAsia="ru-RU"/>
              </w:rPr>
              <w:lastRenderedPageBreak/>
              <w:t xml:space="preserve">Более высокие напряжения заряда повышают мощность, но сокращают срок службы и снижают безопасность. </w:t>
            </w:r>
          </w:p>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vertAlign w:val="superscript"/>
                <w:lang w:val="ru-RU" w:eastAsia="ru-RU"/>
              </w:rPr>
              <w:t xml:space="preserve">Источник: </w:t>
            </w:r>
            <w:proofErr w:type="spellStart"/>
            <w:r w:rsidRPr="0038355C">
              <w:rPr>
                <w:rFonts w:ascii="Times New Roman" w:eastAsia="Times New Roman" w:hAnsi="Times New Roman" w:cs="Times New Roman"/>
                <w:sz w:val="24"/>
                <w:szCs w:val="24"/>
                <w:vertAlign w:val="superscript"/>
                <w:lang w:val="ru-RU" w:eastAsia="ru-RU"/>
              </w:rPr>
              <w:t>Choi</w:t>
            </w:r>
            <w:proofErr w:type="spellEnd"/>
            <w:r w:rsidRPr="0038355C">
              <w:rPr>
                <w:rFonts w:ascii="Times New Roman" w:eastAsia="Times New Roman" w:hAnsi="Times New Roman" w:cs="Times New Roman"/>
                <w:sz w:val="24"/>
                <w:szCs w:val="24"/>
                <w:vertAlign w:val="superscript"/>
                <w:lang w:val="ru-RU" w:eastAsia="ru-RU"/>
              </w:rPr>
              <w:t xml:space="preserve"> </w:t>
            </w:r>
            <w:proofErr w:type="spellStart"/>
            <w:r w:rsidRPr="0038355C">
              <w:rPr>
                <w:rFonts w:ascii="Times New Roman" w:eastAsia="Times New Roman" w:hAnsi="Times New Roman" w:cs="Times New Roman"/>
                <w:sz w:val="24"/>
                <w:szCs w:val="24"/>
                <w:vertAlign w:val="superscript"/>
                <w:lang w:val="ru-RU" w:eastAsia="ru-RU"/>
              </w:rPr>
              <w:t>et</w:t>
            </w:r>
            <w:proofErr w:type="spellEnd"/>
            <w:r w:rsidRPr="0038355C">
              <w:rPr>
                <w:rFonts w:ascii="Times New Roman" w:eastAsia="Times New Roman" w:hAnsi="Times New Roman" w:cs="Times New Roman"/>
                <w:sz w:val="24"/>
                <w:szCs w:val="24"/>
                <w:vertAlign w:val="superscript"/>
                <w:lang w:val="ru-RU" w:eastAsia="ru-RU"/>
              </w:rPr>
              <w:t xml:space="preserve"> </w:t>
            </w:r>
            <w:proofErr w:type="spellStart"/>
            <w:r w:rsidRPr="0038355C">
              <w:rPr>
                <w:rFonts w:ascii="Times New Roman" w:eastAsia="Times New Roman" w:hAnsi="Times New Roman" w:cs="Times New Roman"/>
                <w:sz w:val="24"/>
                <w:szCs w:val="24"/>
                <w:vertAlign w:val="superscript"/>
                <w:lang w:val="ru-RU" w:eastAsia="ru-RU"/>
              </w:rPr>
              <w:t>al</w:t>
            </w:r>
            <w:proofErr w:type="spellEnd"/>
            <w:r w:rsidRPr="0038355C">
              <w:rPr>
                <w:rFonts w:ascii="Times New Roman" w:eastAsia="Times New Roman" w:hAnsi="Times New Roman" w:cs="Times New Roman"/>
                <w:sz w:val="24"/>
                <w:szCs w:val="24"/>
                <w:vertAlign w:val="superscript"/>
                <w:lang w:val="ru-RU" w:eastAsia="ru-RU"/>
              </w:rPr>
              <w:t>.</w:t>
            </w:r>
            <w:r w:rsidRPr="0038355C">
              <w:rPr>
                <w:rFonts w:ascii="Times New Roman" w:eastAsia="Times New Roman" w:hAnsi="Times New Roman" w:cs="Times New Roman"/>
                <w:sz w:val="24"/>
                <w:szCs w:val="24"/>
                <w:lang w:val="ru-RU" w:eastAsia="ru-RU"/>
              </w:rPr>
              <w:t xml:space="preserve"> </w:t>
            </w:r>
            <w:r w:rsidRPr="0038355C">
              <w:rPr>
                <w:rFonts w:ascii="Times New Roman" w:eastAsia="Times New Roman" w:hAnsi="Times New Roman" w:cs="Times New Roman"/>
                <w:sz w:val="24"/>
                <w:szCs w:val="24"/>
                <w:vertAlign w:val="superscript"/>
                <w:lang w:val="ru-RU" w:eastAsia="ru-RU"/>
              </w:rPr>
              <w:t>(2002)</w:t>
            </w:r>
            <w:r w:rsidRPr="0038355C">
              <w:rPr>
                <w:rFonts w:ascii="Times New Roman" w:eastAsia="Times New Roman" w:hAnsi="Times New Roman" w:cs="Times New Roman"/>
                <w:sz w:val="24"/>
                <w:szCs w:val="24"/>
                <w:lang w:val="ru-RU" w:eastAsia="ru-RU"/>
              </w:rPr>
              <w:t xml:space="preserve"> </w:t>
            </w:r>
          </w:p>
        </w:tc>
      </w:tr>
    </w:tbl>
    <w:p w:rsid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lastRenderedPageBreak/>
        <w:br/>
        <w:t xml:space="preserve">Помимо выбора наиболее подходящих порогов напряжения для данного приложения, регулярный литий-ион не должен оставаться на потолке высокого напряжения 4.20V / </w:t>
      </w:r>
      <w:proofErr w:type="spellStart"/>
      <w:r w:rsidRPr="0038355C">
        <w:rPr>
          <w:rFonts w:ascii="Times New Roman" w:eastAsia="Times New Roman" w:hAnsi="Times New Roman" w:cs="Times New Roman"/>
          <w:sz w:val="24"/>
          <w:szCs w:val="24"/>
          <w:lang w:val="ru-RU" w:eastAsia="ru-RU"/>
        </w:rPr>
        <w:t>cell</w:t>
      </w:r>
      <w:proofErr w:type="spellEnd"/>
      <w:r w:rsidRPr="0038355C">
        <w:rPr>
          <w:rFonts w:ascii="Times New Roman" w:eastAsia="Times New Roman" w:hAnsi="Times New Roman" w:cs="Times New Roman"/>
          <w:sz w:val="24"/>
          <w:szCs w:val="24"/>
          <w:lang w:val="ru-RU" w:eastAsia="ru-RU"/>
        </w:rPr>
        <w:t xml:space="preserve"> в течение длительного времени. Зарядное устройство </w:t>
      </w:r>
      <w:proofErr w:type="spellStart"/>
      <w:r w:rsidRPr="0038355C">
        <w:rPr>
          <w:rFonts w:ascii="Times New Roman" w:eastAsia="Times New Roman" w:hAnsi="Times New Roman" w:cs="Times New Roman"/>
          <w:sz w:val="24"/>
          <w:szCs w:val="24"/>
          <w:lang w:val="ru-RU" w:eastAsia="ru-RU"/>
        </w:rPr>
        <w:t>Li-ion</w:t>
      </w:r>
      <w:proofErr w:type="spellEnd"/>
      <w:r w:rsidRPr="0038355C">
        <w:rPr>
          <w:rFonts w:ascii="Times New Roman" w:eastAsia="Times New Roman" w:hAnsi="Times New Roman" w:cs="Times New Roman"/>
          <w:sz w:val="24"/>
          <w:szCs w:val="24"/>
          <w:lang w:val="ru-RU" w:eastAsia="ru-RU"/>
        </w:rPr>
        <w:t xml:space="preserve"> отключает ток заряда, а напряжение аккумулятора возвращается на более естественный уровень. Это как расслабление мышц после напряженного упражнения. </w:t>
      </w:r>
    </w:p>
    <w:p w:rsidR="00677A9D" w:rsidRDefault="00677A9D" w:rsidP="0038355C">
      <w:pPr>
        <w:spacing w:before="100" w:beforeAutospacing="1" w:after="100" w:afterAutospacing="1"/>
        <w:rPr>
          <w:rFonts w:ascii="Times New Roman" w:eastAsia="Times New Roman" w:hAnsi="Times New Roman" w:cs="Times New Roman"/>
          <w:sz w:val="24"/>
          <w:szCs w:val="24"/>
          <w:lang w:val="ru-RU" w:eastAsia="ru-RU"/>
        </w:rPr>
      </w:pPr>
    </w:p>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На рисунке 6 показаны динамические тесты напряжений (DST), отражающие потери мощности при </w:t>
      </w:r>
      <w:proofErr w:type="spellStart"/>
      <w:r w:rsidRPr="0038355C">
        <w:rPr>
          <w:rFonts w:ascii="Times New Roman" w:eastAsia="Times New Roman" w:hAnsi="Times New Roman" w:cs="Times New Roman"/>
          <w:sz w:val="24"/>
          <w:szCs w:val="24"/>
          <w:lang w:val="ru-RU" w:eastAsia="ru-RU"/>
        </w:rPr>
        <w:t>циклировании</w:t>
      </w:r>
      <w:proofErr w:type="spellEnd"/>
      <w:r w:rsidRPr="0038355C">
        <w:rPr>
          <w:rFonts w:ascii="Times New Roman" w:eastAsia="Times New Roman" w:hAnsi="Times New Roman" w:cs="Times New Roman"/>
          <w:sz w:val="24"/>
          <w:szCs w:val="24"/>
          <w:lang w:val="ru-RU" w:eastAsia="ru-RU"/>
        </w:rPr>
        <w:t xml:space="preserve"> Li-иона при различных полосах пропускания и разряда. Наибольшая потеря емкости возникает при разряде полностью заряженного Li-иона до 25% </w:t>
      </w:r>
      <w:proofErr w:type="spellStart"/>
      <w:r w:rsidRPr="0038355C">
        <w:rPr>
          <w:rFonts w:ascii="Times New Roman" w:eastAsia="Times New Roman" w:hAnsi="Times New Roman" w:cs="Times New Roman"/>
          <w:sz w:val="24"/>
          <w:szCs w:val="24"/>
          <w:lang w:val="ru-RU" w:eastAsia="ru-RU"/>
        </w:rPr>
        <w:t>SoC</w:t>
      </w:r>
      <w:proofErr w:type="spellEnd"/>
      <w:r w:rsidRPr="0038355C">
        <w:rPr>
          <w:rFonts w:ascii="Times New Roman" w:eastAsia="Times New Roman" w:hAnsi="Times New Roman" w:cs="Times New Roman"/>
          <w:sz w:val="24"/>
          <w:szCs w:val="24"/>
          <w:lang w:val="ru-RU" w:eastAsia="ru-RU"/>
        </w:rPr>
        <w:t xml:space="preserve"> (черный); потеря будет выше, если полностью разрядится. Велоспорт между 85 и 25 процентами (зеленый) обеспечивает более длительный срок службы, чем зарядка до 100 процентов и разрядка до 50 процентов (темно-синий). Наименьшая потеря мощности достигается за счет зарядки </w:t>
      </w:r>
      <w:proofErr w:type="spellStart"/>
      <w:r w:rsidRPr="0038355C">
        <w:rPr>
          <w:rFonts w:ascii="Times New Roman" w:eastAsia="Times New Roman" w:hAnsi="Times New Roman" w:cs="Times New Roman"/>
          <w:sz w:val="24"/>
          <w:szCs w:val="24"/>
          <w:lang w:val="ru-RU" w:eastAsia="ru-RU"/>
        </w:rPr>
        <w:t>Li-ion</w:t>
      </w:r>
      <w:proofErr w:type="spellEnd"/>
      <w:r w:rsidRPr="0038355C">
        <w:rPr>
          <w:rFonts w:ascii="Times New Roman" w:eastAsia="Times New Roman" w:hAnsi="Times New Roman" w:cs="Times New Roman"/>
          <w:sz w:val="24"/>
          <w:szCs w:val="24"/>
          <w:lang w:val="ru-RU" w:eastAsia="ru-RU"/>
        </w:rPr>
        <w:t xml:space="preserve"> до 75 процентов и разряда до 65 процентов. Это, однако, не полностью использует батарею. Говорят, что высокое напряжение и повышенная температура ухудшают работу батареи быстрее, чем при нормальной эксплуатации. </w:t>
      </w:r>
    </w:p>
    <w:tbl>
      <w:tblPr>
        <w:tblW w:w="8550" w:type="dxa"/>
        <w:tblCellSpacing w:w="0" w:type="dxa"/>
        <w:tblCellMar>
          <w:left w:w="0" w:type="dxa"/>
          <w:right w:w="0" w:type="dxa"/>
        </w:tblCellMar>
        <w:tblLook w:val="04A0"/>
      </w:tblPr>
      <w:tblGrid>
        <w:gridCol w:w="8580"/>
      </w:tblGrid>
      <w:tr w:rsidR="0038355C" w:rsidRPr="0038355C" w:rsidTr="0038355C">
        <w:trPr>
          <w:tblCellSpacing w:w="0" w:type="dxa"/>
        </w:trPr>
        <w:tc>
          <w:tcPr>
            <w:tcW w:w="6300" w:type="dxa"/>
            <w:vAlign w:val="center"/>
            <w:hideMark/>
          </w:tcPr>
          <w:p w:rsidR="0038355C" w:rsidRPr="0038355C" w:rsidRDefault="0038355C" w:rsidP="0038355C">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4343400"/>
                  <wp:effectExtent l="19050" t="0" r="0" b="0"/>
                  <wp:docPr id="3" name="Рисунок 3" descr="D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T"/>
                          <pic:cNvPicPr>
                            <a:picLocks noChangeAspect="1" noChangeArrowheads="1"/>
                          </pic:cNvPicPr>
                        </pic:nvPicPr>
                        <pic:blipFill>
                          <a:blip r:embed="rId7"/>
                          <a:srcRect/>
                          <a:stretch>
                            <a:fillRect/>
                          </a:stretch>
                        </pic:blipFill>
                        <pic:spPr bwMode="auto">
                          <a:xfrm>
                            <a:off x="0" y="0"/>
                            <a:ext cx="5429250" cy="4343400"/>
                          </a:xfrm>
                          <a:prstGeom prst="rect">
                            <a:avLst/>
                          </a:prstGeom>
                          <a:noFill/>
                          <a:ln w="9525">
                            <a:noFill/>
                            <a:miter lim="800000"/>
                            <a:headEnd/>
                            <a:tailEnd/>
                          </a:ln>
                        </pic:spPr>
                      </pic:pic>
                    </a:graphicData>
                  </a:graphic>
                </wp:inline>
              </w:drawing>
            </w:r>
          </w:p>
        </w:tc>
      </w:tr>
      <w:tr w:rsidR="0038355C" w:rsidRPr="0038355C" w:rsidTr="0038355C">
        <w:trPr>
          <w:tblCellSpacing w:w="0" w:type="dxa"/>
        </w:trPr>
        <w:tc>
          <w:tcPr>
            <w:tcW w:w="6300" w:type="dxa"/>
            <w:vAlign w:val="center"/>
            <w:hideMark/>
          </w:tcPr>
          <w:p w:rsidR="0038355C" w:rsidRPr="0038355C" w:rsidRDefault="0038355C" w:rsidP="0038355C">
            <w:pPr>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b/>
                <w:bCs/>
                <w:sz w:val="24"/>
                <w:szCs w:val="24"/>
                <w:lang w:val="ru-RU" w:eastAsia="ru-RU"/>
              </w:rPr>
              <w:t xml:space="preserve">Рисунок 6: Потери мощности при работе </w:t>
            </w:r>
            <w:proofErr w:type="spellStart"/>
            <w:r w:rsidRPr="0038355C">
              <w:rPr>
                <w:rFonts w:ascii="Times New Roman" w:eastAsia="Times New Roman" w:hAnsi="Times New Roman" w:cs="Times New Roman"/>
                <w:b/>
                <w:bCs/>
                <w:sz w:val="24"/>
                <w:szCs w:val="24"/>
                <w:lang w:val="ru-RU" w:eastAsia="ru-RU"/>
              </w:rPr>
              <w:t>Li-ion</w:t>
            </w:r>
            <w:proofErr w:type="spellEnd"/>
            <w:r w:rsidRPr="0038355C">
              <w:rPr>
                <w:rFonts w:ascii="Times New Roman" w:eastAsia="Times New Roman" w:hAnsi="Times New Roman" w:cs="Times New Roman"/>
                <w:b/>
                <w:bCs/>
                <w:sz w:val="24"/>
                <w:szCs w:val="24"/>
                <w:lang w:val="ru-RU" w:eastAsia="ru-RU"/>
              </w:rPr>
              <w:t xml:space="preserve"> в пределах заданной полосы заряда и разряда.</w:t>
            </w:r>
            <w:r w:rsidRPr="0038355C">
              <w:rPr>
                <w:rFonts w:ascii="Times New Roman" w:eastAsia="Times New Roman" w:hAnsi="Times New Roman" w:cs="Times New Roman"/>
                <w:sz w:val="24"/>
                <w:szCs w:val="24"/>
                <w:lang w:val="ru-RU" w:eastAsia="ru-RU"/>
              </w:rPr>
              <w:t xml:space="preserve"> </w:t>
            </w:r>
            <w:r w:rsidRPr="0038355C">
              <w:rPr>
                <w:rFonts w:ascii="Times New Roman" w:eastAsia="Times New Roman" w:hAnsi="Times New Roman" w:cs="Times New Roman"/>
                <w:sz w:val="24"/>
                <w:szCs w:val="24"/>
                <w:lang w:val="ru-RU" w:eastAsia="ru-RU"/>
              </w:rPr>
              <w:br/>
              <w:t xml:space="preserve">Зарядка аккумуляторов до 85% имеет более длительный срок службы, чем полная зарядка. Несмотря на то, что срок службы более длительный, более чем полный цикл не полностью использует батарею.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 xml:space="preserve">• 75-65% </w:t>
            </w:r>
            <w:proofErr w:type="spellStart"/>
            <w:r w:rsidRPr="0038355C">
              <w:rPr>
                <w:rFonts w:ascii="Times New Roman" w:eastAsia="Times New Roman" w:hAnsi="Times New Roman" w:cs="Times New Roman"/>
                <w:sz w:val="24"/>
                <w:szCs w:val="24"/>
                <w:lang w:val="ru-RU" w:eastAsia="ru-RU"/>
              </w:rPr>
              <w:t>SoC</w:t>
            </w:r>
            <w:proofErr w:type="spellEnd"/>
            <w:r w:rsidRPr="0038355C">
              <w:rPr>
                <w:rFonts w:ascii="Times New Roman" w:eastAsia="Times New Roman" w:hAnsi="Times New Roman" w:cs="Times New Roman"/>
                <w:sz w:val="24"/>
                <w:szCs w:val="24"/>
                <w:lang w:val="ru-RU" w:eastAsia="ru-RU"/>
              </w:rPr>
              <w:t xml:space="preserve"> предлагает самый длинный цикл жизни </w:t>
            </w:r>
            <w:r w:rsidRPr="0038355C">
              <w:rPr>
                <w:rFonts w:ascii="Times New Roman" w:eastAsia="Times New Roman" w:hAnsi="Times New Roman" w:cs="Times New Roman"/>
                <w:sz w:val="24"/>
                <w:szCs w:val="24"/>
                <w:lang w:val="ru-RU" w:eastAsia="ru-RU"/>
              </w:rPr>
              <w:br/>
              <w:t xml:space="preserve">• </w:t>
            </w:r>
            <w:proofErr w:type="spellStart"/>
            <w:r w:rsidRPr="0038355C">
              <w:rPr>
                <w:rFonts w:ascii="Times New Roman" w:eastAsia="Times New Roman" w:hAnsi="Times New Roman" w:cs="Times New Roman"/>
                <w:sz w:val="24"/>
                <w:szCs w:val="24"/>
                <w:lang w:val="ru-RU" w:eastAsia="ru-RU"/>
              </w:rPr>
              <w:t>EVs</w:t>
            </w:r>
            <w:proofErr w:type="spellEnd"/>
            <w:r w:rsidRPr="0038355C">
              <w:rPr>
                <w:rFonts w:ascii="Times New Roman" w:eastAsia="Times New Roman" w:hAnsi="Times New Roman" w:cs="Times New Roman"/>
                <w:sz w:val="24"/>
                <w:szCs w:val="24"/>
                <w:lang w:val="ru-RU" w:eastAsia="ru-RU"/>
              </w:rPr>
              <w:t xml:space="preserve"> </w:t>
            </w:r>
            <w:proofErr w:type="gramStart"/>
            <w:r w:rsidRPr="0038355C">
              <w:rPr>
                <w:rFonts w:ascii="Times New Roman" w:eastAsia="Times New Roman" w:hAnsi="Times New Roman" w:cs="Times New Roman"/>
                <w:sz w:val="24"/>
                <w:szCs w:val="24"/>
                <w:lang w:val="ru-RU" w:eastAsia="ru-RU"/>
              </w:rPr>
              <w:t xml:space="preserve">используют 85-25% </w:t>
            </w:r>
            <w:proofErr w:type="spellStart"/>
            <w:r w:rsidRPr="0038355C">
              <w:rPr>
                <w:rFonts w:ascii="Times New Roman" w:eastAsia="Times New Roman" w:hAnsi="Times New Roman" w:cs="Times New Roman"/>
                <w:sz w:val="24"/>
                <w:szCs w:val="24"/>
                <w:lang w:val="ru-RU" w:eastAsia="ru-RU"/>
              </w:rPr>
              <w:t>SoC</w:t>
            </w:r>
            <w:proofErr w:type="spellEnd"/>
            <w:r w:rsidRPr="0038355C">
              <w:rPr>
                <w:rFonts w:ascii="Times New Roman" w:eastAsia="Times New Roman" w:hAnsi="Times New Roman" w:cs="Times New Roman"/>
                <w:sz w:val="24"/>
                <w:szCs w:val="24"/>
                <w:lang w:val="ru-RU" w:eastAsia="ru-RU"/>
              </w:rPr>
              <w:t xml:space="preserve"> для продления срока службы батареи </w:t>
            </w:r>
            <w:r w:rsidRPr="0038355C">
              <w:rPr>
                <w:rFonts w:ascii="Times New Roman" w:eastAsia="Times New Roman" w:hAnsi="Times New Roman" w:cs="Times New Roman"/>
                <w:sz w:val="24"/>
                <w:szCs w:val="24"/>
                <w:lang w:val="ru-RU" w:eastAsia="ru-RU"/>
              </w:rPr>
              <w:br/>
              <w:t xml:space="preserve">• 100-25% </w:t>
            </w:r>
            <w:proofErr w:type="spellStart"/>
            <w:r w:rsidRPr="0038355C">
              <w:rPr>
                <w:rFonts w:ascii="Times New Roman" w:eastAsia="Times New Roman" w:hAnsi="Times New Roman" w:cs="Times New Roman"/>
                <w:sz w:val="24"/>
                <w:szCs w:val="24"/>
                <w:lang w:val="ru-RU" w:eastAsia="ru-RU"/>
              </w:rPr>
              <w:t>SoC</w:t>
            </w:r>
            <w:proofErr w:type="spellEnd"/>
            <w:r w:rsidRPr="0038355C">
              <w:rPr>
                <w:rFonts w:ascii="Times New Roman" w:eastAsia="Times New Roman" w:hAnsi="Times New Roman" w:cs="Times New Roman"/>
                <w:sz w:val="24"/>
                <w:szCs w:val="24"/>
                <w:lang w:val="ru-RU" w:eastAsia="ru-RU"/>
              </w:rPr>
              <w:t xml:space="preserve"> обеспечивает</w:t>
            </w:r>
            <w:proofErr w:type="gramEnd"/>
            <w:r w:rsidRPr="0038355C">
              <w:rPr>
                <w:rFonts w:ascii="Times New Roman" w:eastAsia="Times New Roman" w:hAnsi="Times New Roman" w:cs="Times New Roman"/>
                <w:sz w:val="24"/>
                <w:szCs w:val="24"/>
                <w:lang w:val="ru-RU" w:eastAsia="ru-RU"/>
              </w:rPr>
              <w:t xml:space="preserve"> длительное время работы, наилучшим образом использует аккумулятор, но сокращает время автономной работы. </w:t>
            </w:r>
          </w:p>
        </w:tc>
      </w:tr>
    </w:tbl>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lastRenderedPageBreak/>
        <w:t xml:space="preserve">Только полный цикл обеспечивает заданную энергию батареи. С современной </w:t>
      </w:r>
      <w:hyperlink r:id="rId8" w:history="1">
        <w:r w:rsidRPr="00677A9D">
          <w:rPr>
            <w:rFonts w:ascii="Times New Roman" w:eastAsia="Times New Roman" w:hAnsi="Times New Roman" w:cs="Times New Roman"/>
            <w:sz w:val="24"/>
            <w:szCs w:val="24"/>
            <w:lang w:val="ru-RU" w:eastAsia="ru-RU"/>
          </w:rPr>
          <w:t>энергетической ячейкой</w:t>
        </w:r>
      </w:hyperlink>
      <w:r w:rsidRPr="0038355C">
        <w:rPr>
          <w:rFonts w:ascii="Times New Roman" w:eastAsia="Times New Roman" w:hAnsi="Times New Roman" w:cs="Times New Roman"/>
          <w:sz w:val="24"/>
          <w:szCs w:val="24"/>
          <w:lang w:val="ru-RU" w:eastAsia="ru-RU"/>
        </w:rPr>
        <w:t xml:space="preserve"> это 250 Вт / кг, но жизненный цикл будет скомпрометирован. Все, будучи линейными, продлевающий жизнь средний диапазон 85-25 процентов уменьшает энергию до 60 процентов, и это соответствует умеренной удельной плотности энергии от 250Wh / </w:t>
      </w:r>
      <w:proofErr w:type="spellStart"/>
      <w:r w:rsidRPr="0038355C">
        <w:rPr>
          <w:rFonts w:ascii="Times New Roman" w:eastAsia="Times New Roman" w:hAnsi="Times New Roman" w:cs="Times New Roman"/>
          <w:sz w:val="24"/>
          <w:szCs w:val="24"/>
          <w:lang w:val="ru-RU" w:eastAsia="ru-RU"/>
        </w:rPr>
        <w:t>kg</w:t>
      </w:r>
      <w:proofErr w:type="spellEnd"/>
      <w:r w:rsidRPr="0038355C">
        <w:rPr>
          <w:rFonts w:ascii="Times New Roman" w:eastAsia="Times New Roman" w:hAnsi="Times New Roman" w:cs="Times New Roman"/>
          <w:sz w:val="24"/>
          <w:szCs w:val="24"/>
          <w:lang w:val="ru-RU" w:eastAsia="ru-RU"/>
        </w:rPr>
        <w:t xml:space="preserve"> до 150Wh / </w:t>
      </w:r>
      <w:proofErr w:type="spellStart"/>
      <w:r w:rsidRPr="0038355C">
        <w:rPr>
          <w:rFonts w:ascii="Times New Roman" w:eastAsia="Times New Roman" w:hAnsi="Times New Roman" w:cs="Times New Roman"/>
          <w:sz w:val="24"/>
          <w:szCs w:val="24"/>
          <w:lang w:val="ru-RU" w:eastAsia="ru-RU"/>
        </w:rPr>
        <w:t>kg</w:t>
      </w:r>
      <w:proofErr w:type="spellEnd"/>
      <w:r w:rsidRPr="0038355C">
        <w:rPr>
          <w:rFonts w:ascii="Times New Roman" w:eastAsia="Times New Roman" w:hAnsi="Times New Roman" w:cs="Times New Roman"/>
          <w:sz w:val="24"/>
          <w:szCs w:val="24"/>
          <w:lang w:val="ru-RU" w:eastAsia="ru-RU"/>
        </w:rPr>
        <w:t xml:space="preserve">. </w:t>
      </w:r>
    </w:p>
    <w:p w:rsidR="0038355C" w:rsidRPr="0038355C" w:rsidRDefault="0038355C" w:rsidP="0038355C">
      <w:pPr>
        <w:spacing w:before="100" w:beforeAutospacing="1" w:after="100" w:afterAutospacing="1"/>
        <w:rPr>
          <w:rFonts w:ascii="Times New Roman" w:eastAsia="Times New Roman" w:hAnsi="Times New Roman" w:cs="Times New Roman"/>
          <w:sz w:val="24"/>
          <w:szCs w:val="24"/>
          <w:lang w:val="ru-RU" w:eastAsia="ru-RU"/>
        </w:rPr>
      </w:pPr>
      <w:r w:rsidRPr="0038355C">
        <w:rPr>
          <w:rFonts w:ascii="Times New Roman" w:eastAsia="Times New Roman" w:hAnsi="Times New Roman" w:cs="Times New Roman"/>
          <w:sz w:val="24"/>
          <w:szCs w:val="24"/>
          <w:lang w:val="ru-RU" w:eastAsia="ru-RU"/>
        </w:rPr>
        <w:t xml:space="preserve">Производители аккумуляторов часто указывают срок службы батареи с 80 </w:t>
      </w:r>
      <w:proofErr w:type="spellStart"/>
      <w:r w:rsidRPr="0038355C">
        <w:rPr>
          <w:rFonts w:ascii="Times New Roman" w:eastAsia="Times New Roman" w:hAnsi="Times New Roman" w:cs="Times New Roman"/>
          <w:sz w:val="24"/>
          <w:szCs w:val="24"/>
          <w:lang w:val="ru-RU" w:eastAsia="ru-RU"/>
        </w:rPr>
        <w:t>DoD</w:t>
      </w:r>
      <w:proofErr w:type="spellEnd"/>
      <w:r w:rsidRPr="0038355C">
        <w:rPr>
          <w:rFonts w:ascii="Times New Roman" w:eastAsia="Times New Roman" w:hAnsi="Times New Roman" w:cs="Times New Roman"/>
          <w:sz w:val="24"/>
          <w:szCs w:val="24"/>
          <w:lang w:val="ru-RU" w:eastAsia="ru-RU"/>
        </w:rPr>
        <w:t>. Это практично, потому что батареи должны сохранять некоторый запас перед зарядкой при нормальном использовании</w:t>
      </w:r>
      <w:proofErr w:type="gramStart"/>
      <w:r w:rsidRPr="0038355C">
        <w:rPr>
          <w:rFonts w:ascii="Times New Roman" w:eastAsia="Times New Roman" w:hAnsi="Times New Roman" w:cs="Times New Roman"/>
          <w:sz w:val="24"/>
          <w:szCs w:val="24"/>
          <w:lang w:val="ru-RU" w:eastAsia="ru-RU"/>
        </w:rPr>
        <w:t xml:space="preserve">., </w:t>
      </w:r>
      <w:proofErr w:type="gramEnd"/>
      <w:r w:rsidRPr="0038355C">
        <w:rPr>
          <w:rFonts w:ascii="Times New Roman" w:eastAsia="Times New Roman" w:hAnsi="Times New Roman" w:cs="Times New Roman"/>
          <w:sz w:val="24"/>
          <w:szCs w:val="24"/>
          <w:lang w:val="ru-RU" w:eastAsia="ru-RU"/>
        </w:rPr>
        <w:t xml:space="preserve">Циклический цикл DST (динамический стресс-тест) отличается от типа батареи, времени зарядки, протокола нагрузки и рабочей температуры. Лабораторные тесты часто получают номера, которые не достижимы в поле. </w:t>
      </w:r>
    </w:p>
    <w:p w:rsidR="0038355C" w:rsidRPr="0038355C" w:rsidRDefault="0038355C" w:rsidP="0038355C">
      <w:pPr>
        <w:spacing w:before="100" w:beforeAutospacing="1" w:after="100" w:afterAutospacing="1"/>
        <w:outlineLvl w:val="1"/>
        <w:rPr>
          <w:rFonts w:ascii="Times New Roman" w:eastAsia="Times New Roman" w:hAnsi="Times New Roman" w:cs="Times New Roman"/>
          <w:b/>
          <w:bCs/>
          <w:sz w:val="36"/>
          <w:szCs w:val="36"/>
          <w:lang w:val="ru-RU" w:eastAsia="ru-RU"/>
        </w:rPr>
      </w:pPr>
      <w:r w:rsidRPr="0038355C">
        <w:rPr>
          <w:rFonts w:ascii="Times New Roman" w:eastAsia="Times New Roman" w:hAnsi="Times New Roman" w:cs="Times New Roman"/>
          <w:b/>
          <w:bCs/>
          <w:sz w:val="36"/>
          <w:szCs w:val="36"/>
          <w:lang w:val="ru-RU" w:eastAsia="ru-RU"/>
        </w:rPr>
        <w:t xml:space="preserve">Что может сделать пользователь? </w:t>
      </w:r>
    </w:p>
    <w:p w:rsidR="0038355C" w:rsidRPr="00595803" w:rsidRDefault="0038355C" w:rsidP="0038355C">
      <w:pPr>
        <w:spacing w:before="100" w:beforeAutospacing="1" w:after="100" w:afterAutospacing="1"/>
        <w:rPr>
          <w:rFonts w:ascii="Times New Roman" w:eastAsia="Times New Roman" w:hAnsi="Times New Roman" w:cs="Times New Roman"/>
          <w:sz w:val="24"/>
          <w:szCs w:val="24"/>
          <w:lang w:val="en-US" w:eastAsia="ru-RU"/>
        </w:rPr>
      </w:pPr>
      <w:r w:rsidRPr="0038355C">
        <w:rPr>
          <w:rFonts w:ascii="Times New Roman" w:eastAsia="Times New Roman" w:hAnsi="Times New Roman" w:cs="Times New Roman"/>
          <w:sz w:val="24"/>
          <w:szCs w:val="24"/>
          <w:lang w:val="ru-RU" w:eastAsia="ru-RU"/>
        </w:rPr>
        <w:t xml:space="preserve">Условия окружающей среды, а не только на велосипеде, определяют долговечность </w:t>
      </w:r>
      <w:proofErr w:type="spellStart"/>
      <w:proofErr w:type="gramStart"/>
      <w:r w:rsidRPr="0038355C">
        <w:rPr>
          <w:rFonts w:ascii="Times New Roman" w:eastAsia="Times New Roman" w:hAnsi="Times New Roman" w:cs="Times New Roman"/>
          <w:sz w:val="24"/>
          <w:szCs w:val="24"/>
          <w:lang w:val="ru-RU" w:eastAsia="ru-RU"/>
        </w:rPr>
        <w:t>литий-ионных</w:t>
      </w:r>
      <w:proofErr w:type="spellEnd"/>
      <w:proofErr w:type="gramEnd"/>
      <w:r w:rsidRPr="0038355C">
        <w:rPr>
          <w:rFonts w:ascii="Times New Roman" w:eastAsia="Times New Roman" w:hAnsi="Times New Roman" w:cs="Times New Roman"/>
          <w:sz w:val="24"/>
          <w:szCs w:val="24"/>
          <w:lang w:val="ru-RU" w:eastAsia="ru-RU"/>
        </w:rPr>
        <w:t xml:space="preserve"> батарей. Наихудшей ситуацией является поддержание полностью заряженной батареи при повышенных температурах. Аккумуляторные батареи не умирают внезапно, но время работы постепенно сокращается по мере того, как мощность исчезает.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 xml:space="preserve">Более низкие зарядные напряжения продлевают срок службы батареи, а электромобили и спутники используют это. Аналогичные положения могут быть сделаны и для потребительских устройств, но они редко предлагаются; </w:t>
      </w:r>
      <w:proofErr w:type="gramStart"/>
      <w:r w:rsidRPr="0038355C">
        <w:rPr>
          <w:rFonts w:ascii="Times New Roman" w:eastAsia="Times New Roman" w:hAnsi="Times New Roman" w:cs="Times New Roman"/>
          <w:sz w:val="24"/>
          <w:szCs w:val="24"/>
          <w:lang w:val="ru-RU" w:eastAsia="ru-RU"/>
        </w:rPr>
        <w:t>Плановая</w:t>
      </w:r>
      <w:proofErr w:type="gramEnd"/>
      <w:r w:rsidRPr="0038355C">
        <w:rPr>
          <w:rFonts w:ascii="Times New Roman" w:eastAsia="Times New Roman" w:hAnsi="Times New Roman" w:cs="Times New Roman"/>
          <w:sz w:val="24"/>
          <w:szCs w:val="24"/>
          <w:lang w:val="ru-RU" w:eastAsia="ru-RU"/>
        </w:rPr>
        <w:t xml:space="preserve"> устаревание позаботится об этом.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Аккумулятор ноутбука можно продлить, понизив зарядное напряжение при подключении к сети переменного тока. Чтобы сделать эту функцию удобной, устройство должно иметь режим «</w:t>
      </w:r>
      <w:proofErr w:type="spellStart"/>
      <w:r w:rsidRPr="0038355C">
        <w:rPr>
          <w:rFonts w:ascii="Times New Roman" w:eastAsia="Times New Roman" w:hAnsi="Times New Roman" w:cs="Times New Roman"/>
          <w:sz w:val="24"/>
          <w:szCs w:val="24"/>
          <w:lang w:val="ru-RU" w:eastAsia="ru-RU"/>
        </w:rPr>
        <w:t>Long</w:t>
      </w:r>
      <w:proofErr w:type="spellEnd"/>
      <w:r w:rsidRPr="0038355C">
        <w:rPr>
          <w:rFonts w:ascii="Times New Roman" w:eastAsia="Times New Roman" w:hAnsi="Times New Roman" w:cs="Times New Roman"/>
          <w:sz w:val="24"/>
          <w:szCs w:val="24"/>
          <w:lang w:val="ru-RU" w:eastAsia="ru-RU"/>
        </w:rPr>
        <w:t xml:space="preserve"> </w:t>
      </w:r>
      <w:proofErr w:type="spellStart"/>
      <w:r w:rsidRPr="0038355C">
        <w:rPr>
          <w:rFonts w:ascii="Times New Roman" w:eastAsia="Times New Roman" w:hAnsi="Times New Roman" w:cs="Times New Roman"/>
          <w:sz w:val="24"/>
          <w:szCs w:val="24"/>
          <w:lang w:val="ru-RU" w:eastAsia="ru-RU"/>
        </w:rPr>
        <w:t>Life</w:t>
      </w:r>
      <w:proofErr w:type="spellEnd"/>
      <w:r w:rsidRPr="0038355C">
        <w:rPr>
          <w:rFonts w:ascii="Times New Roman" w:eastAsia="Times New Roman" w:hAnsi="Times New Roman" w:cs="Times New Roman"/>
          <w:sz w:val="24"/>
          <w:szCs w:val="24"/>
          <w:lang w:val="ru-RU" w:eastAsia="ru-RU"/>
        </w:rPr>
        <w:t>», который поддерживает батарею с частотой 4,05</w:t>
      </w:r>
      <w:proofErr w:type="gramStart"/>
      <w:r w:rsidRPr="0038355C">
        <w:rPr>
          <w:rFonts w:ascii="Times New Roman" w:eastAsia="Times New Roman" w:hAnsi="Times New Roman" w:cs="Times New Roman"/>
          <w:sz w:val="24"/>
          <w:szCs w:val="24"/>
          <w:lang w:val="ru-RU" w:eastAsia="ru-RU"/>
        </w:rPr>
        <w:t xml:space="preserve"> В</w:t>
      </w:r>
      <w:proofErr w:type="gramEnd"/>
      <w:r w:rsidRPr="0038355C">
        <w:rPr>
          <w:rFonts w:ascii="Times New Roman" w:eastAsia="Times New Roman" w:hAnsi="Times New Roman" w:cs="Times New Roman"/>
          <w:sz w:val="24"/>
          <w:szCs w:val="24"/>
          <w:lang w:val="ru-RU" w:eastAsia="ru-RU"/>
        </w:rPr>
        <w:t xml:space="preserve"> / с и предлагает </w:t>
      </w:r>
      <w:proofErr w:type="spellStart"/>
      <w:r w:rsidRPr="0038355C">
        <w:rPr>
          <w:rFonts w:ascii="Times New Roman" w:eastAsia="Times New Roman" w:hAnsi="Times New Roman" w:cs="Times New Roman"/>
          <w:sz w:val="24"/>
          <w:szCs w:val="24"/>
          <w:lang w:val="ru-RU" w:eastAsia="ru-RU"/>
        </w:rPr>
        <w:t>SoC</w:t>
      </w:r>
      <w:proofErr w:type="spellEnd"/>
      <w:r w:rsidRPr="0038355C">
        <w:rPr>
          <w:rFonts w:ascii="Times New Roman" w:eastAsia="Times New Roman" w:hAnsi="Times New Roman" w:cs="Times New Roman"/>
          <w:sz w:val="24"/>
          <w:szCs w:val="24"/>
          <w:lang w:val="ru-RU" w:eastAsia="ru-RU"/>
        </w:rPr>
        <w:t xml:space="preserve"> около 80 процентов. За час до поездки пользователь запрашивает режим «Полная мощность», чтобы довести заряд до 4.20V / </w:t>
      </w:r>
      <w:proofErr w:type="spellStart"/>
      <w:r w:rsidRPr="0038355C">
        <w:rPr>
          <w:rFonts w:ascii="Times New Roman" w:eastAsia="Times New Roman" w:hAnsi="Times New Roman" w:cs="Times New Roman"/>
          <w:sz w:val="24"/>
          <w:szCs w:val="24"/>
          <w:lang w:val="ru-RU" w:eastAsia="ru-RU"/>
        </w:rPr>
        <w:t>cell</w:t>
      </w:r>
      <w:proofErr w:type="spellEnd"/>
      <w:r w:rsidRPr="0038355C">
        <w:rPr>
          <w:rFonts w:ascii="Times New Roman" w:eastAsia="Times New Roman" w:hAnsi="Times New Roman" w:cs="Times New Roman"/>
          <w:sz w:val="24"/>
          <w:szCs w:val="24"/>
          <w:lang w:val="ru-RU" w:eastAsia="ru-RU"/>
        </w:rPr>
        <w:t xml:space="preserve">.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 xml:space="preserve">Вопрос: «Должен ли я отключить ноутбук от сетевой розетки, когда он не используется?» При нормальных обстоятельствах это не обязательно, потому что зарядка прекращается, когда </w:t>
      </w:r>
      <w:proofErr w:type="spellStart"/>
      <w:proofErr w:type="gramStart"/>
      <w:r w:rsidRPr="0038355C">
        <w:rPr>
          <w:rFonts w:ascii="Times New Roman" w:eastAsia="Times New Roman" w:hAnsi="Times New Roman" w:cs="Times New Roman"/>
          <w:sz w:val="24"/>
          <w:szCs w:val="24"/>
          <w:lang w:val="ru-RU" w:eastAsia="ru-RU"/>
        </w:rPr>
        <w:t>литий-ионная</w:t>
      </w:r>
      <w:proofErr w:type="spellEnd"/>
      <w:proofErr w:type="gramEnd"/>
      <w:r w:rsidRPr="0038355C">
        <w:rPr>
          <w:rFonts w:ascii="Times New Roman" w:eastAsia="Times New Roman" w:hAnsi="Times New Roman" w:cs="Times New Roman"/>
          <w:sz w:val="24"/>
          <w:szCs w:val="24"/>
          <w:lang w:val="ru-RU" w:eastAsia="ru-RU"/>
        </w:rPr>
        <w:t xml:space="preserve"> батарея заполнена. Заряжающийся заряд применяется только тогда, когда напряжение аккумулятора падает до определенного уровня. Большинство пользователей не снимают питание переменного тока, и эта практика безопасна.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 xml:space="preserve">Современные ноутбуки работают более холодно, чем более старые модели, и сообщаемых пожаров меньше. Всегда держите воздушный поток беспрепятственно при работе электрических устройств с воздушным охлаждением на кровати или подушке. Классный ноутбук продлевает срок службы батареи и защищает внутренние компоненты. Энергетические ячейки, которые имеют большинство потребительских товаров, должны заряжаться при температуре 1С или ниже. Избегайте так называемых </w:t>
      </w:r>
      <w:hyperlink r:id="rId9" w:history="1">
        <w:r w:rsidRPr="00677A9D">
          <w:rPr>
            <w:rFonts w:ascii="Times New Roman" w:eastAsia="Times New Roman" w:hAnsi="Times New Roman" w:cs="Times New Roman"/>
            <w:sz w:val="24"/>
            <w:szCs w:val="24"/>
            <w:lang w:val="ru-RU" w:eastAsia="ru-RU"/>
          </w:rPr>
          <w:t>сверхбыстрых зарядных устройств,</w:t>
        </w:r>
      </w:hyperlink>
      <w:r w:rsidRPr="0038355C">
        <w:rPr>
          <w:rFonts w:ascii="Times New Roman" w:eastAsia="Times New Roman" w:hAnsi="Times New Roman" w:cs="Times New Roman"/>
          <w:sz w:val="24"/>
          <w:szCs w:val="24"/>
          <w:lang w:val="ru-RU" w:eastAsia="ru-RU"/>
        </w:rPr>
        <w:t xml:space="preserve"> которые утверждают, что полностью заряжают </w:t>
      </w:r>
      <w:proofErr w:type="spellStart"/>
      <w:r w:rsidRPr="0038355C">
        <w:rPr>
          <w:rFonts w:ascii="Times New Roman" w:eastAsia="Times New Roman" w:hAnsi="Times New Roman" w:cs="Times New Roman"/>
          <w:sz w:val="24"/>
          <w:szCs w:val="24"/>
          <w:lang w:val="ru-RU" w:eastAsia="ru-RU"/>
        </w:rPr>
        <w:t>Li-ion</w:t>
      </w:r>
      <w:proofErr w:type="spellEnd"/>
      <w:r w:rsidRPr="0038355C">
        <w:rPr>
          <w:rFonts w:ascii="Times New Roman" w:eastAsia="Times New Roman" w:hAnsi="Times New Roman" w:cs="Times New Roman"/>
          <w:sz w:val="24"/>
          <w:szCs w:val="24"/>
          <w:lang w:val="ru-RU" w:eastAsia="ru-RU"/>
        </w:rPr>
        <w:t xml:space="preserve"> менее чем за час. </w:t>
      </w:r>
      <w:r w:rsidRPr="0038355C">
        <w:rPr>
          <w:rFonts w:ascii="Times New Roman" w:eastAsia="Times New Roman" w:hAnsi="Times New Roman" w:cs="Times New Roman"/>
          <w:sz w:val="24"/>
          <w:szCs w:val="24"/>
          <w:lang w:val="ru-RU" w:eastAsia="ru-RU"/>
        </w:rPr>
        <w:br/>
      </w:r>
      <w:r w:rsidRPr="0038355C">
        <w:rPr>
          <w:rFonts w:ascii="Times New Roman" w:eastAsia="Times New Roman" w:hAnsi="Times New Roman" w:cs="Times New Roman"/>
          <w:sz w:val="24"/>
          <w:szCs w:val="24"/>
          <w:lang w:val="ru-RU" w:eastAsia="ru-RU"/>
        </w:rPr>
        <w:br/>
        <w:t>Последнее</w:t>
      </w:r>
      <w:r w:rsidRPr="00595803">
        <w:rPr>
          <w:rFonts w:ascii="Times New Roman" w:eastAsia="Times New Roman" w:hAnsi="Times New Roman" w:cs="Times New Roman"/>
          <w:sz w:val="24"/>
          <w:szCs w:val="24"/>
          <w:lang w:val="en-US" w:eastAsia="ru-RU"/>
        </w:rPr>
        <w:t xml:space="preserve"> </w:t>
      </w:r>
      <w:r w:rsidRPr="0038355C">
        <w:rPr>
          <w:rFonts w:ascii="Times New Roman" w:eastAsia="Times New Roman" w:hAnsi="Times New Roman" w:cs="Times New Roman"/>
          <w:sz w:val="24"/>
          <w:szCs w:val="24"/>
          <w:lang w:val="ru-RU" w:eastAsia="ru-RU"/>
        </w:rPr>
        <w:t>обновление</w:t>
      </w:r>
      <w:r w:rsidRPr="00595803">
        <w:rPr>
          <w:rFonts w:ascii="Times New Roman" w:eastAsia="Times New Roman" w:hAnsi="Times New Roman" w:cs="Times New Roman"/>
          <w:sz w:val="24"/>
          <w:szCs w:val="24"/>
          <w:lang w:val="en-US" w:eastAsia="ru-RU"/>
        </w:rPr>
        <w:t>: 2017-06-15</w:t>
      </w:r>
    </w:p>
    <w:p w:rsidR="009E6D90" w:rsidRPr="009E6D90" w:rsidRDefault="009E6D90" w:rsidP="009E6D90">
      <w:pPr>
        <w:pStyle w:val="1"/>
        <w:rPr>
          <w:lang w:val="en-US"/>
        </w:rPr>
      </w:pPr>
      <w:r w:rsidRPr="009E6D90">
        <w:rPr>
          <w:lang w:val="en-US"/>
        </w:rPr>
        <w:t>How to Prolong Lithium-based Batteries</w:t>
      </w:r>
    </w:p>
    <w:p w:rsidR="009E6D90" w:rsidRPr="009E6D90" w:rsidRDefault="009E6D90" w:rsidP="009E6D90">
      <w:pPr>
        <w:pStyle w:val="a3"/>
        <w:rPr>
          <w:lang w:val="en-US"/>
        </w:rPr>
      </w:pPr>
      <w:r w:rsidRPr="009E6D90">
        <w:rPr>
          <w:rStyle w:val="a4"/>
          <w:lang w:val="en-US"/>
        </w:rPr>
        <w:t>Discover what causes Li-ion to age and what the battery user can do to prolong its life.</w:t>
      </w:r>
      <w:r w:rsidRPr="009E6D90">
        <w:rPr>
          <w:lang w:val="en-US"/>
        </w:rPr>
        <w:br/>
      </w:r>
      <w:r w:rsidRPr="009E6D90">
        <w:rPr>
          <w:lang w:val="en-US"/>
        </w:rPr>
        <w:br/>
        <w:t>Battery research is focusing on lithium chemistries so much that one could imagine that the battery future lies solely in lithium. There are good reasons to be optimistic as lithium-ion is, in many ways, superior to other chemistries. Applications are growing and are encroaching into markets that previously were solidly held by lead acid, such as standby and load leveling. Many satellites are also powered by Li-ion.</w:t>
      </w:r>
      <w:r w:rsidRPr="009E6D90">
        <w:rPr>
          <w:lang w:val="en-US"/>
        </w:rPr>
        <w:br/>
      </w:r>
      <w:r w:rsidRPr="009E6D90">
        <w:rPr>
          <w:lang w:val="en-US"/>
        </w:rPr>
        <w:br/>
        <w:t>Lithium-ion has not yet fully matured and is still improving. Notable advancements have been made in longevity and safety while the capacity is increasing incrementally. Today, Li-ion meets the expectations of most consumer devices but applications for the EV need further development before this power source will become the accepted norm.</w:t>
      </w:r>
      <w:r w:rsidRPr="009E6D90">
        <w:rPr>
          <w:lang w:val="en-US"/>
        </w:rPr>
        <w:br/>
        <w:t> </w:t>
      </w:r>
    </w:p>
    <w:p w:rsidR="009E6D90" w:rsidRPr="009E6D90" w:rsidRDefault="009E6D90" w:rsidP="009E6D90">
      <w:pPr>
        <w:pStyle w:val="2"/>
        <w:rPr>
          <w:lang w:val="en-US"/>
        </w:rPr>
      </w:pPr>
      <w:r w:rsidRPr="009E6D90">
        <w:rPr>
          <w:lang w:val="en-US"/>
        </w:rPr>
        <w:lastRenderedPageBreak/>
        <w:t>What Causes Lithium-ion to Age?</w:t>
      </w:r>
    </w:p>
    <w:p w:rsidR="009E6D90" w:rsidRPr="009E6D90" w:rsidRDefault="009E6D90" w:rsidP="009E6D90">
      <w:pPr>
        <w:pStyle w:val="a3"/>
        <w:rPr>
          <w:lang w:val="en-US"/>
        </w:rPr>
      </w:pPr>
      <w:r w:rsidRPr="009E6D90">
        <w:rPr>
          <w:lang w:val="en-US"/>
        </w:rPr>
        <w:t>The lithium-ion battery works on ion movement between the positive and negative electrodes. In theory such a mechanism should work forever, but cycling, elevated temperature and aging decrease the performance over time. Manufacturers take a conservative approach and specify the life of Li-ion in most consumer products as being between 300 and 500 discharge/charge cycles.</w:t>
      </w:r>
      <w:r w:rsidRPr="009E6D90">
        <w:rPr>
          <w:lang w:val="en-US"/>
        </w:rPr>
        <w:br/>
      </w:r>
      <w:r w:rsidRPr="009E6D90">
        <w:rPr>
          <w:lang w:val="en-US"/>
        </w:rPr>
        <w:br/>
        <w:t>Evaluating battery life on counting cycles is not conclusive because a discharge may vary in depth and there are no clearly defined standards of what constitutes a cycle. In lieu of cycle count, some device manufacturers suggest battery replacement on a date stamp, but this method does not take usage into account. A battery may fail within the allotted time due to heavy use or unfavorable temperature conditions; however, most packs last considerably longer than what the stamp indicates.</w:t>
      </w:r>
      <w:r w:rsidRPr="009E6D90">
        <w:rPr>
          <w:lang w:val="en-US"/>
        </w:rPr>
        <w:br/>
      </w:r>
      <w:r w:rsidRPr="009E6D90">
        <w:rPr>
          <w:lang w:val="en-US"/>
        </w:rPr>
        <w:br/>
        <w:t>The performance of a battery is measured in capacity, a leading health indicator. Internal resistance and self-discharge also play roles, but these are less significant in predicting the end of battery life with modern Li-ion.</w:t>
      </w:r>
      <w:r w:rsidRPr="009E6D90">
        <w:rPr>
          <w:lang w:val="en-US"/>
        </w:rPr>
        <w:br/>
      </w:r>
      <w:r w:rsidRPr="009E6D90">
        <w:rPr>
          <w:lang w:val="en-US"/>
        </w:rPr>
        <w:br/>
        <w:t xml:space="preserve">Figure 1 illustrates the capacity drop of 11 Li-polymer batteries that have been cycled at a </w:t>
      </w:r>
      <w:proofErr w:type="spellStart"/>
      <w:r w:rsidRPr="009E6D90">
        <w:rPr>
          <w:lang w:val="en-US"/>
        </w:rPr>
        <w:t>Cadex</w:t>
      </w:r>
      <w:proofErr w:type="spellEnd"/>
      <w:r w:rsidRPr="009E6D90">
        <w:rPr>
          <w:lang w:val="en-US"/>
        </w:rPr>
        <w:t xml:space="preserve"> laboratory. The 1,500mAh pouch cells for mobile phones were first charged at a current of 1,500mA (1C) to 4.20V/cell and then allowed to saturate to 0.05C (75mA) as part of the full charge saturation. The batteries were then discharged at 1,500mA to 3.0V/cell, and the cycle was repeated. The expected capacity loss of Li-ion batteries was uniform over the delivered 250 cycles and the batteries performed as expected.</w:t>
      </w:r>
      <w:r w:rsidRPr="009E6D90">
        <w:rPr>
          <w:lang w:val="en-US"/>
        </w:rPr>
        <w:br/>
        <w:t> </w:t>
      </w:r>
    </w:p>
    <w:tbl>
      <w:tblPr>
        <w:tblW w:w="8550" w:type="dxa"/>
        <w:tblCellSpacing w:w="0" w:type="dxa"/>
        <w:tblCellMar>
          <w:left w:w="0" w:type="dxa"/>
          <w:right w:w="0" w:type="dxa"/>
        </w:tblCellMar>
        <w:tblLook w:val="04A0"/>
      </w:tblPr>
      <w:tblGrid>
        <w:gridCol w:w="8550"/>
      </w:tblGrid>
      <w:tr w:rsidR="009E6D90" w:rsidTr="009E6D90">
        <w:trPr>
          <w:tblCellSpacing w:w="0" w:type="dxa"/>
        </w:trPr>
        <w:tc>
          <w:tcPr>
            <w:tcW w:w="6000" w:type="dxa"/>
            <w:vAlign w:val="center"/>
            <w:hideMark/>
          </w:tcPr>
          <w:p w:rsidR="009E6D90" w:rsidRDefault="009E6D90">
            <w:pPr>
              <w:pStyle w:val="a3"/>
            </w:pPr>
            <w:r>
              <w:rPr>
                <w:noProof/>
              </w:rPr>
              <w:drawing>
                <wp:inline distT="0" distB="0" distL="0" distR="0">
                  <wp:extent cx="3619500" cy="2628900"/>
                  <wp:effectExtent l="19050" t="0" r="0" b="0"/>
                  <wp:docPr id="6" name="Рисунок 1" descr="Capacity drop as part of 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acity drop as part of cycling"/>
                          <pic:cNvPicPr>
                            <a:picLocks noChangeAspect="1" noChangeArrowheads="1"/>
                          </pic:cNvPicPr>
                        </pic:nvPicPr>
                        <pic:blipFill>
                          <a:blip r:embed="rId5"/>
                          <a:srcRect/>
                          <a:stretch>
                            <a:fillRect/>
                          </a:stretch>
                        </pic:blipFill>
                        <pic:spPr bwMode="auto">
                          <a:xfrm>
                            <a:off x="0" y="0"/>
                            <a:ext cx="3619500" cy="2628900"/>
                          </a:xfrm>
                          <a:prstGeom prst="rect">
                            <a:avLst/>
                          </a:prstGeom>
                          <a:noFill/>
                          <a:ln w="9525">
                            <a:noFill/>
                            <a:miter lim="800000"/>
                            <a:headEnd/>
                            <a:tailEnd/>
                          </a:ln>
                        </pic:spPr>
                      </pic:pic>
                    </a:graphicData>
                  </a:graphic>
                </wp:inline>
              </w:drawing>
            </w:r>
          </w:p>
        </w:tc>
      </w:tr>
      <w:tr w:rsidR="009E6D90" w:rsidTr="009E6D90">
        <w:trPr>
          <w:tblCellSpacing w:w="0" w:type="dxa"/>
        </w:trPr>
        <w:tc>
          <w:tcPr>
            <w:tcW w:w="6000" w:type="dxa"/>
            <w:vAlign w:val="center"/>
            <w:hideMark/>
          </w:tcPr>
          <w:p w:rsidR="009E6D90" w:rsidRPr="009E6D90" w:rsidRDefault="009E6D90">
            <w:pPr>
              <w:pStyle w:val="a3"/>
              <w:rPr>
                <w:lang w:val="en-US"/>
              </w:rPr>
            </w:pPr>
            <w:r w:rsidRPr="009E6D90">
              <w:rPr>
                <w:rStyle w:val="a4"/>
                <w:lang w:val="en-US"/>
              </w:rPr>
              <w:t>Figure 1: Capacity drop as part of cycling. </w:t>
            </w:r>
            <w:r w:rsidRPr="009E6D90">
              <w:rPr>
                <w:lang w:val="en-US"/>
              </w:rPr>
              <w:t xml:space="preserve">Eleven new Li-ion were tested on a </w:t>
            </w:r>
            <w:proofErr w:type="spellStart"/>
            <w:r w:rsidRPr="009E6D90">
              <w:rPr>
                <w:lang w:val="en-US"/>
              </w:rPr>
              <w:t>Cadex</w:t>
            </w:r>
            <w:proofErr w:type="spellEnd"/>
            <w:r w:rsidRPr="009E6D90">
              <w:rPr>
                <w:lang w:val="en-US"/>
              </w:rPr>
              <w:t xml:space="preserve"> C7400 battery analyzer. All packs started at a capacity of 88–94% and decreased to 73–84% after 250 full discharge cycles. The 1500mAh pouch packs are used in mobile phones.</w:t>
            </w:r>
          </w:p>
          <w:p w:rsidR="009E6D90" w:rsidRPr="009E6D90" w:rsidRDefault="009E6D90">
            <w:pPr>
              <w:pStyle w:val="a3"/>
              <w:rPr>
                <w:lang w:val="en-US"/>
              </w:rPr>
            </w:pPr>
            <w:r w:rsidRPr="009E6D90">
              <w:rPr>
                <w:vertAlign w:val="superscript"/>
                <w:lang w:val="en-US"/>
              </w:rPr>
              <w:t xml:space="preserve">Courtesy of </w:t>
            </w:r>
            <w:proofErr w:type="spellStart"/>
            <w:r w:rsidRPr="009E6D90">
              <w:rPr>
                <w:vertAlign w:val="superscript"/>
                <w:lang w:val="en-US"/>
              </w:rPr>
              <w:t>Cadex</w:t>
            </w:r>
            <w:proofErr w:type="spellEnd"/>
          </w:p>
        </w:tc>
      </w:tr>
    </w:tbl>
    <w:p w:rsidR="009E6D90" w:rsidRPr="009E6D90" w:rsidRDefault="009E6D90" w:rsidP="009E6D90">
      <w:pPr>
        <w:pStyle w:val="a3"/>
        <w:rPr>
          <w:lang w:val="en-US"/>
        </w:rPr>
      </w:pPr>
      <w:r w:rsidRPr="009E6D90">
        <w:rPr>
          <w:lang w:val="en-US"/>
        </w:rPr>
        <w:br/>
        <w:t>Although a battery should deliver 100 percent capacity during the first year of service, it is common to see lower than specified capacities, and shelf life may contribute to this loss. In addition, manufacturers tend to overrate their batteries, knowing that very few users will do spot-checks and complain if low. Not having to match single cells in mobile phones and tablets, as is required in multi-cell packs, opens the floodgates for a much broader performance acceptance. Cells with lower capacities may slip through cracks without the consumer knowing. </w:t>
      </w:r>
      <w:r w:rsidRPr="009E6D90">
        <w:rPr>
          <w:lang w:val="en-US"/>
        </w:rPr>
        <w:br/>
      </w:r>
      <w:r w:rsidRPr="009E6D90">
        <w:rPr>
          <w:lang w:val="en-US"/>
        </w:rPr>
        <w:br/>
        <w:t>Similar to a mechanical device that wears out faster with heavy use, the depth of discharge (</w:t>
      </w:r>
      <w:proofErr w:type="spellStart"/>
      <w:proofErr w:type="gramStart"/>
      <w:r w:rsidRPr="009E6D90">
        <w:rPr>
          <w:lang w:val="en-US"/>
        </w:rPr>
        <w:t>DoD</w:t>
      </w:r>
      <w:proofErr w:type="spellEnd"/>
      <w:proofErr w:type="gramEnd"/>
      <w:r w:rsidRPr="009E6D90">
        <w:rPr>
          <w:lang w:val="en-US"/>
        </w:rPr>
        <w:t xml:space="preserve">) determines the cycle count of the battery. The smaller the discharge (low </w:t>
      </w:r>
      <w:proofErr w:type="spellStart"/>
      <w:proofErr w:type="gramStart"/>
      <w:r w:rsidRPr="009E6D90">
        <w:rPr>
          <w:lang w:val="en-US"/>
        </w:rPr>
        <w:t>DoD</w:t>
      </w:r>
      <w:proofErr w:type="spellEnd"/>
      <w:proofErr w:type="gramEnd"/>
      <w:r w:rsidRPr="009E6D90">
        <w:rPr>
          <w:lang w:val="en-US"/>
        </w:rPr>
        <w:t xml:space="preserve">), the longer the battery will last. If at all possible, avoid full discharges and charge the battery more often between uses. Partial discharge on Li-ion is fine. There is no memory and the battery does not need periodic full discharge cycles to prolong life. The exception may be a periodic calibration of the fuel gauge on a smart battery or intelligent device. </w:t>
      </w:r>
    </w:p>
    <w:p w:rsidR="009E6D90" w:rsidRPr="009E6D90" w:rsidRDefault="009E6D90" w:rsidP="009E6D90">
      <w:pPr>
        <w:pStyle w:val="a3"/>
        <w:rPr>
          <w:lang w:val="en-US"/>
        </w:rPr>
      </w:pPr>
      <w:r w:rsidRPr="009E6D90">
        <w:rPr>
          <w:lang w:val="en-US"/>
        </w:rPr>
        <w:lastRenderedPageBreak/>
        <w:t xml:space="preserve">The following tables indicate stress related capacity losses on cobalt-based lithium-ion. The voltages of lithium iron phosphate and lithium </w:t>
      </w:r>
      <w:proofErr w:type="spellStart"/>
      <w:r w:rsidRPr="009E6D90">
        <w:rPr>
          <w:lang w:val="en-US"/>
        </w:rPr>
        <w:t>titanate</w:t>
      </w:r>
      <w:proofErr w:type="spellEnd"/>
      <w:r w:rsidRPr="009E6D90">
        <w:rPr>
          <w:lang w:val="en-US"/>
        </w:rPr>
        <w:t xml:space="preserve"> are lower and do not apply to the voltage references given.</w:t>
      </w:r>
      <w:r w:rsidRPr="009E6D90">
        <w:rPr>
          <w:lang w:val="en-US"/>
        </w:rPr>
        <w:br/>
        <w:t> </w:t>
      </w:r>
    </w:p>
    <w:tbl>
      <w:tblPr>
        <w:tblW w:w="8550" w:type="dxa"/>
        <w:tblCellSpacing w:w="0" w:type="dxa"/>
        <w:tblCellMar>
          <w:top w:w="150" w:type="dxa"/>
          <w:left w:w="150" w:type="dxa"/>
          <w:bottom w:w="150" w:type="dxa"/>
          <w:right w:w="150" w:type="dxa"/>
        </w:tblCellMar>
        <w:tblLook w:val="04A0"/>
      </w:tblPr>
      <w:tblGrid>
        <w:gridCol w:w="811"/>
        <w:gridCol w:w="7739"/>
      </w:tblGrid>
      <w:tr w:rsidR="009E6D90" w:rsidTr="009E6D90">
        <w:trPr>
          <w:tblCellSpacing w:w="0" w:type="dxa"/>
        </w:trPr>
        <w:tc>
          <w:tcPr>
            <w:tcW w:w="0" w:type="auto"/>
            <w:shd w:val="clear" w:color="auto" w:fill="FFCC00"/>
            <w:hideMark/>
          </w:tcPr>
          <w:p w:rsidR="009E6D90" w:rsidRDefault="009E6D90">
            <w:pPr>
              <w:rPr>
                <w:sz w:val="24"/>
                <w:szCs w:val="24"/>
              </w:rPr>
            </w:pPr>
            <w:proofErr w:type="spellStart"/>
            <w:r>
              <w:rPr>
                <w:rStyle w:val="a4"/>
              </w:rPr>
              <w:t>Note</w:t>
            </w:r>
            <w:proofErr w:type="spellEnd"/>
            <w:r>
              <w:rPr>
                <w:rStyle w:val="a4"/>
              </w:rPr>
              <w:t>:</w:t>
            </w:r>
          </w:p>
        </w:tc>
        <w:tc>
          <w:tcPr>
            <w:tcW w:w="0" w:type="auto"/>
            <w:shd w:val="clear" w:color="auto" w:fill="FFCC00"/>
            <w:vAlign w:val="center"/>
            <w:hideMark/>
          </w:tcPr>
          <w:p w:rsidR="009E6D90" w:rsidRDefault="009E6D90">
            <w:pPr>
              <w:rPr>
                <w:sz w:val="24"/>
                <w:szCs w:val="24"/>
              </w:rPr>
            </w:pPr>
            <w:proofErr w:type="spellStart"/>
            <w:r>
              <w:t>Tables</w:t>
            </w:r>
            <w:proofErr w:type="spellEnd"/>
            <w:r>
              <w:t xml:space="preserve"> 2, 3 </w:t>
            </w:r>
            <w:proofErr w:type="spellStart"/>
            <w:r>
              <w:t>and</w:t>
            </w:r>
            <w:proofErr w:type="spellEnd"/>
            <w:r>
              <w:t xml:space="preserve"> 4 </w:t>
            </w:r>
            <w:proofErr w:type="spellStart"/>
            <w:r>
              <w:t>indicate</w:t>
            </w:r>
            <w:proofErr w:type="spellEnd"/>
            <w:r>
              <w:t xml:space="preserve"> </w:t>
            </w:r>
            <w:proofErr w:type="spellStart"/>
            <w:r>
              <w:t>general</w:t>
            </w:r>
            <w:proofErr w:type="spellEnd"/>
            <w:r>
              <w:t xml:space="preserve"> </w:t>
            </w:r>
            <w:proofErr w:type="spellStart"/>
            <w:r>
              <w:t>aging</w:t>
            </w:r>
            <w:proofErr w:type="spellEnd"/>
            <w:r>
              <w:t xml:space="preserve"> </w:t>
            </w:r>
            <w:proofErr w:type="spellStart"/>
            <w:r>
              <w:t>trends</w:t>
            </w:r>
            <w:proofErr w:type="spellEnd"/>
            <w:r>
              <w:t xml:space="preserve"> </w:t>
            </w:r>
            <w:proofErr w:type="spellStart"/>
            <w:r>
              <w:t>of</w:t>
            </w:r>
            <w:proofErr w:type="spellEnd"/>
            <w:r>
              <w:t xml:space="preserve"> </w:t>
            </w:r>
            <w:proofErr w:type="spellStart"/>
            <w:r>
              <w:t>common</w:t>
            </w:r>
            <w:proofErr w:type="spellEnd"/>
            <w:r>
              <w:t xml:space="preserve"> cobalt-based Li-</w:t>
            </w:r>
            <w:proofErr w:type="spellStart"/>
            <w:r>
              <w:t>ion</w:t>
            </w:r>
            <w:proofErr w:type="spellEnd"/>
            <w:r>
              <w:t xml:space="preserve"> </w:t>
            </w:r>
            <w:proofErr w:type="spellStart"/>
            <w:r>
              <w:t>batteries</w:t>
            </w:r>
            <w:proofErr w:type="spellEnd"/>
            <w:r>
              <w:t xml:space="preserve"> </w:t>
            </w:r>
            <w:proofErr w:type="spellStart"/>
            <w:r>
              <w:t>on</w:t>
            </w:r>
            <w:proofErr w:type="spellEnd"/>
            <w:r>
              <w:t xml:space="preserve"> depth-of-discharge, </w:t>
            </w:r>
            <w:proofErr w:type="spellStart"/>
            <w:r>
              <w:t>temperature</w:t>
            </w:r>
            <w:proofErr w:type="spellEnd"/>
            <w:r>
              <w:t xml:space="preserve"> </w:t>
            </w:r>
            <w:proofErr w:type="spellStart"/>
            <w:r>
              <w:t>and</w:t>
            </w:r>
            <w:proofErr w:type="spellEnd"/>
            <w:r>
              <w:t xml:space="preserve"> </w:t>
            </w:r>
            <w:proofErr w:type="spellStart"/>
            <w:r>
              <w:t>charge</w:t>
            </w:r>
            <w:proofErr w:type="spellEnd"/>
            <w:r>
              <w:t xml:space="preserve"> </w:t>
            </w:r>
            <w:proofErr w:type="spellStart"/>
            <w:r>
              <w:t>levels</w:t>
            </w:r>
            <w:proofErr w:type="spellEnd"/>
            <w:r>
              <w:t xml:space="preserve">, </w:t>
            </w:r>
            <w:proofErr w:type="spellStart"/>
            <w:r>
              <w:t>Table</w:t>
            </w:r>
            <w:proofErr w:type="spellEnd"/>
            <w:r>
              <w:t xml:space="preserve"> 6 </w:t>
            </w:r>
            <w:proofErr w:type="spellStart"/>
            <w:r>
              <w:t>further</w:t>
            </w:r>
            <w:proofErr w:type="spellEnd"/>
            <w:r>
              <w:t xml:space="preserve"> </w:t>
            </w:r>
            <w:proofErr w:type="spellStart"/>
            <w:r>
              <w:t>looks</w:t>
            </w:r>
            <w:proofErr w:type="spellEnd"/>
            <w:r>
              <w:t xml:space="preserve"> </w:t>
            </w:r>
            <w:proofErr w:type="spellStart"/>
            <w:r>
              <w:t>at</w:t>
            </w:r>
            <w:proofErr w:type="spellEnd"/>
            <w:r>
              <w:t xml:space="preserve"> </w:t>
            </w:r>
            <w:proofErr w:type="spellStart"/>
            <w:r>
              <w:t>capacity</w:t>
            </w:r>
            <w:proofErr w:type="spellEnd"/>
            <w:r>
              <w:t xml:space="preserve"> </w:t>
            </w:r>
            <w:proofErr w:type="spellStart"/>
            <w:r>
              <w:t>loss</w:t>
            </w:r>
            <w:proofErr w:type="spellEnd"/>
            <w:r>
              <w:t xml:space="preserve"> </w:t>
            </w:r>
            <w:proofErr w:type="spellStart"/>
            <w:r>
              <w:t>when</w:t>
            </w:r>
            <w:proofErr w:type="spellEnd"/>
            <w:r>
              <w:t xml:space="preserve"> </w:t>
            </w:r>
            <w:proofErr w:type="spellStart"/>
            <w:r>
              <w:t>operating</w:t>
            </w:r>
            <w:proofErr w:type="spellEnd"/>
            <w:r>
              <w:t xml:space="preserve"> </w:t>
            </w:r>
            <w:proofErr w:type="spellStart"/>
            <w:r>
              <w:t>within</w:t>
            </w:r>
            <w:proofErr w:type="spellEnd"/>
            <w:r>
              <w:t xml:space="preserve"> </w:t>
            </w:r>
            <w:proofErr w:type="spellStart"/>
            <w:r>
              <w:t>given</w:t>
            </w:r>
            <w:proofErr w:type="spellEnd"/>
            <w:r>
              <w:t xml:space="preserve"> </w:t>
            </w:r>
            <w:proofErr w:type="spellStart"/>
            <w:r>
              <w:t>and</w:t>
            </w:r>
            <w:proofErr w:type="spellEnd"/>
            <w:r>
              <w:t xml:space="preserve"> </w:t>
            </w:r>
            <w:proofErr w:type="spellStart"/>
            <w:r>
              <w:t>discharge</w:t>
            </w:r>
            <w:proofErr w:type="spellEnd"/>
            <w:r>
              <w:t xml:space="preserve"> </w:t>
            </w:r>
            <w:proofErr w:type="spellStart"/>
            <w:r>
              <w:t>bandwidths</w:t>
            </w:r>
            <w:proofErr w:type="spellEnd"/>
            <w:r>
              <w:t xml:space="preserve">. </w:t>
            </w:r>
            <w:proofErr w:type="spellStart"/>
            <w:r>
              <w:t>The</w:t>
            </w:r>
            <w:proofErr w:type="spellEnd"/>
            <w:r>
              <w:t xml:space="preserve"> </w:t>
            </w:r>
            <w:proofErr w:type="spellStart"/>
            <w:r>
              <w:t>tables</w:t>
            </w:r>
            <w:proofErr w:type="spellEnd"/>
            <w:r>
              <w:t xml:space="preserve"> </w:t>
            </w:r>
            <w:proofErr w:type="spellStart"/>
            <w:r>
              <w:t>do</w:t>
            </w:r>
            <w:proofErr w:type="spellEnd"/>
            <w:r>
              <w:t xml:space="preserve"> </w:t>
            </w:r>
            <w:proofErr w:type="spellStart"/>
            <w:r>
              <w:t>not</w:t>
            </w:r>
            <w:proofErr w:type="spellEnd"/>
            <w:r>
              <w:t xml:space="preserve"> </w:t>
            </w:r>
            <w:proofErr w:type="spellStart"/>
            <w:r>
              <w:t>address</w:t>
            </w:r>
            <w:proofErr w:type="spellEnd"/>
            <w:r>
              <w:t xml:space="preserve"> ultra-</w:t>
            </w:r>
            <w:proofErr w:type="spellStart"/>
            <w:r>
              <w:t>fast</w:t>
            </w:r>
            <w:proofErr w:type="spellEnd"/>
            <w:r>
              <w:t xml:space="preserve"> </w:t>
            </w:r>
            <w:proofErr w:type="spellStart"/>
            <w:r>
              <w:t>charging</w:t>
            </w:r>
            <w:proofErr w:type="spellEnd"/>
            <w:r>
              <w:t xml:space="preserve"> </w:t>
            </w:r>
            <w:proofErr w:type="spellStart"/>
            <w:r>
              <w:t>and</w:t>
            </w:r>
            <w:proofErr w:type="spellEnd"/>
            <w:r>
              <w:t xml:space="preserve"> </w:t>
            </w:r>
            <w:proofErr w:type="spellStart"/>
            <w:r>
              <w:t>high</w:t>
            </w:r>
            <w:proofErr w:type="spellEnd"/>
            <w:r>
              <w:t xml:space="preserve"> </w:t>
            </w:r>
            <w:proofErr w:type="spellStart"/>
            <w:r>
              <w:t>load</w:t>
            </w:r>
            <w:proofErr w:type="spellEnd"/>
            <w:r>
              <w:t xml:space="preserve"> </w:t>
            </w:r>
            <w:proofErr w:type="spellStart"/>
            <w:r>
              <w:t>discharges</w:t>
            </w:r>
            <w:proofErr w:type="spellEnd"/>
            <w:r>
              <w:t xml:space="preserve"> </w:t>
            </w:r>
            <w:proofErr w:type="spellStart"/>
            <w:r>
              <w:t>that</w:t>
            </w:r>
            <w:proofErr w:type="spellEnd"/>
            <w:r>
              <w:t xml:space="preserve"> </w:t>
            </w:r>
            <w:proofErr w:type="spellStart"/>
            <w:r>
              <w:t>will</w:t>
            </w:r>
            <w:proofErr w:type="spellEnd"/>
            <w:r>
              <w:t xml:space="preserve"> </w:t>
            </w:r>
            <w:proofErr w:type="spellStart"/>
            <w:r>
              <w:t>shorten</w:t>
            </w:r>
            <w:proofErr w:type="spellEnd"/>
            <w:r>
              <w:t xml:space="preserve"> </w:t>
            </w:r>
            <w:proofErr w:type="spellStart"/>
            <w:r>
              <w:t>battery</w:t>
            </w:r>
            <w:proofErr w:type="spellEnd"/>
            <w:r>
              <w:t xml:space="preserve"> </w:t>
            </w:r>
            <w:proofErr w:type="spellStart"/>
            <w:r>
              <w:t>life</w:t>
            </w:r>
            <w:proofErr w:type="spellEnd"/>
            <w:r>
              <w:t xml:space="preserve">. </w:t>
            </w:r>
            <w:proofErr w:type="spellStart"/>
            <w:r>
              <w:t>No</w:t>
            </w:r>
            <w:proofErr w:type="spellEnd"/>
            <w:r>
              <w:t xml:space="preserve"> </w:t>
            </w:r>
            <w:proofErr w:type="spellStart"/>
            <w:r>
              <w:t>all</w:t>
            </w:r>
            <w:proofErr w:type="spellEnd"/>
            <w:r>
              <w:t xml:space="preserve"> </w:t>
            </w:r>
            <w:proofErr w:type="spellStart"/>
            <w:r>
              <w:t>batteries</w:t>
            </w:r>
            <w:proofErr w:type="spellEnd"/>
            <w:r>
              <w:t xml:space="preserve"> </w:t>
            </w:r>
            <w:proofErr w:type="spellStart"/>
            <w:r>
              <w:t>behave</w:t>
            </w:r>
            <w:proofErr w:type="spellEnd"/>
            <w:r>
              <w:t xml:space="preserve"> </w:t>
            </w:r>
            <w:proofErr w:type="spellStart"/>
            <w:r>
              <w:t>the</w:t>
            </w:r>
            <w:proofErr w:type="spellEnd"/>
            <w:r>
              <w:t xml:space="preserve"> </w:t>
            </w:r>
            <w:proofErr w:type="spellStart"/>
            <w:r>
              <w:t>same</w:t>
            </w:r>
            <w:proofErr w:type="spellEnd"/>
            <w:r>
              <w:t>.</w:t>
            </w:r>
          </w:p>
        </w:tc>
      </w:tr>
    </w:tbl>
    <w:p w:rsidR="009E6D90" w:rsidRPr="009E6D90" w:rsidRDefault="009E6D90" w:rsidP="009E6D90">
      <w:pPr>
        <w:pStyle w:val="a3"/>
        <w:rPr>
          <w:lang w:val="en-US"/>
        </w:rPr>
      </w:pPr>
      <w:r w:rsidRPr="009E6D90">
        <w:rPr>
          <w:lang w:val="en-US"/>
        </w:rPr>
        <w:br/>
        <w:t xml:space="preserve">Table 2 estimates the number of discharge/charge cycles Li-ion can deliver at various </w:t>
      </w:r>
      <w:proofErr w:type="spellStart"/>
      <w:proofErr w:type="gramStart"/>
      <w:r w:rsidRPr="009E6D90">
        <w:rPr>
          <w:lang w:val="en-US"/>
        </w:rPr>
        <w:t>DoD</w:t>
      </w:r>
      <w:proofErr w:type="spellEnd"/>
      <w:proofErr w:type="gramEnd"/>
      <w:r w:rsidRPr="009E6D90">
        <w:rPr>
          <w:lang w:val="en-US"/>
        </w:rPr>
        <w:t xml:space="preserve"> levels before the battery capacity drops to 70 percent. </w:t>
      </w:r>
      <w:proofErr w:type="spellStart"/>
      <w:proofErr w:type="gramStart"/>
      <w:r w:rsidRPr="009E6D90">
        <w:rPr>
          <w:lang w:val="en-US"/>
        </w:rPr>
        <w:t>DoD</w:t>
      </w:r>
      <w:proofErr w:type="spellEnd"/>
      <w:proofErr w:type="gramEnd"/>
      <w:r w:rsidRPr="009E6D90">
        <w:rPr>
          <w:lang w:val="en-US"/>
        </w:rPr>
        <w:t xml:space="preserve"> constitutes a full charge followed by a discharge to the indicated state-of-charge (</w:t>
      </w:r>
      <w:proofErr w:type="spellStart"/>
      <w:r w:rsidRPr="009E6D90">
        <w:rPr>
          <w:lang w:val="en-US"/>
        </w:rPr>
        <w:t>SoC</w:t>
      </w:r>
      <w:proofErr w:type="spellEnd"/>
      <w:r w:rsidRPr="009E6D90">
        <w:rPr>
          <w:lang w:val="en-US"/>
        </w:rPr>
        <w:t>) level in the table.</w:t>
      </w:r>
      <w:r w:rsidRPr="009E6D90">
        <w:rPr>
          <w:lang w:val="en-US"/>
        </w:rPr>
        <w:br/>
        <w:t> </w:t>
      </w:r>
    </w:p>
    <w:tbl>
      <w:tblPr>
        <w:tblW w:w="8550" w:type="dxa"/>
        <w:tblCellSpacing w:w="0" w:type="dxa"/>
        <w:tblCellMar>
          <w:top w:w="150" w:type="dxa"/>
          <w:left w:w="150" w:type="dxa"/>
          <w:bottom w:w="150" w:type="dxa"/>
          <w:right w:w="150" w:type="dxa"/>
        </w:tblCellMar>
        <w:tblLook w:val="04A0"/>
      </w:tblPr>
      <w:tblGrid>
        <w:gridCol w:w="2456"/>
        <w:gridCol w:w="2458"/>
        <w:gridCol w:w="3636"/>
      </w:tblGrid>
      <w:tr w:rsidR="009E6D90" w:rsidTr="009E6D90">
        <w:trPr>
          <w:tblCellSpacing w:w="0" w:type="dxa"/>
        </w:trPr>
        <w:tc>
          <w:tcPr>
            <w:tcW w:w="2520" w:type="dxa"/>
            <w:shd w:val="clear" w:color="auto" w:fill="E0E0E0"/>
            <w:vAlign w:val="center"/>
            <w:hideMark/>
          </w:tcPr>
          <w:p w:rsidR="009E6D90" w:rsidRDefault="009E6D90">
            <w:pPr>
              <w:pStyle w:val="a3"/>
              <w:jc w:val="center"/>
            </w:pPr>
            <w:proofErr w:type="spellStart"/>
            <w:r>
              <w:rPr>
                <w:rStyle w:val="a4"/>
              </w:rPr>
              <w:t>Depth</w:t>
            </w:r>
            <w:proofErr w:type="spellEnd"/>
            <w:r>
              <w:rPr>
                <w:rStyle w:val="a4"/>
              </w:rPr>
              <w:t xml:space="preserve"> </w:t>
            </w:r>
            <w:proofErr w:type="spellStart"/>
            <w:r>
              <w:rPr>
                <w:rStyle w:val="a4"/>
              </w:rPr>
              <w:t>of</w:t>
            </w:r>
            <w:proofErr w:type="spellEnd"/>
            <w:r>
              <w:rPr>
                <w:rStyle w:val="a4"/>
              </w:rPr>
              <w:t xml:space="preserve"> </w:t>
            </w:r>
            <w:proofErr w:type="spellStart"/>
            <w:r>
              <w:rPr>
                <w:rStyle w:val="a4"/>
              </w:rPr>
              <w:t>discharge</w:t>
            </w:r>
            <w:proofErr w:type="spellEnd"/>
            <w:r>
              <w:br/>
              <w:t> </w:t>
            </w:r>
          </w:p>
        </w:tc>
        <w:tc>
          <w:tcPr>
            <w:tcW w:w="2520" w:type="dxa"/>
            <w:shd w:val="clear" w:color="auto" w:fill="E0E0E0"/>
            <w:vAlign w:val="center"/>
            <w:hideMark/>
          </w:tcPr>
          <w:p w:rsidR="009E6D90" w:rsidRDefault="009E6D90">
            <w:pPr>
              <w:pStyle w:val="a3"/>
              <w:jc w:val="center"/>
            </w:pPr>
            <w:proofErr w:type="spellStart"/>
            <w:r>
              <w:rPr>
                <w:rStyle w:val="a4"/>
              </w:rPr>
              <w:t>Discharge</w:t>
            </w:r>
            <w:proofErr w:type="spellEnd"/>
            <w:r>
              <w:rPr>
                <w:rStyle w:val="a4"/>
              </w:rPr>
              <w:t xml:space="preserve"> </w:t>
            </w:r>
            <w:proofErr w:type="spellStart"/>
            <w:r>
              <w:rPr>
                <w:rStyle w:val="a4"/>
              </w:rPr>
              <w:t>cycles</w:t>
            </w:r>
            <w:proofErr w:type="spellEnd"/>
            <w:r>
              <w:br/>
              <w:t>(NMC / LiPO4)</w:t>
            </w:r>
          </w:p>
        </w:tc>
        <w:tc>
          <w:tcPr>
            <w:tcW w:w="3735" w:type="dxa"/>
            <w:vMerge w:val="restart"/>
            <w:vAlign w:val="center"/>
            <w:hideMark/>
          </w:tcPr>
          <w:p w:rsidR="009E6D90" w:rsidRPr="009E6D90" w:rsidRDefault="009E6D90">
            <w:pPr>
              <w:pStyle w:val="a3"/>
              <w:ind w:left="259"/>
              <w:rPr>
                <w:lang w:val="en-US"/>
              </w:rPr>
            </w:pPr>
            <w:r w:rsidRPr="009E6D90">
              <w:rPr>
                <w:rStyle w:val="a4"/>
                <w:lang w:val="en-US"/>
              </w:rPr>
              <w:t>Table 2: Cycle life as a function of</w:t>
            </w:r>
            <w:r w:rsidRPr="009E6D90">
              <w:rPr>
                <w:b/>
                <w:bCs/>
                <w:lang w:val="en-US"/>
              </w:rPr>
              <w:br/>
            </w:r>
            <w:r w:rsidRPr="009E6D90">
              <w:rPr>
                <w:rStyle w:val="a4"/>
                <w:lang w:val="en-US"/>
              </w:rPr>
              <w:t>depth of discharge. </w:t>
            </w:r>
            <w:r w:rsidRPr="009E6D90">
              <w:rPr>
                <w:lang w:val="en-US"/>
              </w:rPr>
              <w:t>A partial discharge reduces stress and prolongs battery life, so does a partial charge. Elevated temperature and high currents also affect cycle life.</w:t>
            </w:r>
            <w:r w:rsidRPr="009E6D90">
              <w:rPr>
                <w:lang w:val="en-US"/>
              </w:rPr>
              <w:br/>
            </w:r>
            <w:r w:rsidRPr="009E6D90">
              <w:rPr>
                <w:lang w:val="en-US"/>
              </w:rPr>
              <w:br/>
            </w:r>
            <w:r w:rsidRPr="009E6D90">
              <w:rPr>
                <w:rStyle w:val="a4"/>
                <w:lang w:val="en-US"/>
              </w:rPr>
              <w:t xml:space="preserve">Note: </w:t>
            </w:r>
            <w:r w:rsidRPr="009E6D90">
              <w:rPr>
                <w:lang w:val="en-US"/>
              </w:rPr>
              <w:t xml:space="preserve">100% </w:t>
            </w:r>
            <w:proofErr w:type="spellStart"/>
            <w:r w:rsidRPr="009E6D90">
              <w:rPr>
                <w:lang w:val="en-US"/>
              </w:rPr>
              <w:t>DoD</w:t>
            </w:r>
            <w:proofErr w:type="spellEnd"/>
            <w:r w:rsidRPr="009E6D90">
              <w:rPr>
                <w:lang w:val="en-US"/>
              </w:rPr>
              <w:t xml:space="preserve"> is a full cycle; 10% is very brief. Cycling in mid-state-of-charge would have best longevity.</w:t>
            </w:r>
          </w:p>
        </w:tc>
      </w:tr>
      <w:tr w:rsidR="009E6D90" w:rsidTr="009E6D90">
        <w:trPr>
          <w:tblCellSpacing w:w="0" w:type="dxa"/>
        </w:trPr>
        <w:tc>
          <w:tcPr>
            <w:tcW w:w="2520" w:type="dxa"/>
            <w:shd w:val="clear" w:color="auto" w:fill="EEEEEE"/>
            <w:vAlign w:val="center"/>
            <w:hideMark/>
          </w:tcPr>
          <w:p w:rsidR="009E6D90" w:rsidRDefault="009E6D90">
            <w:pPr>
              <w:jc w:val="center"/>
              <w:rPr>
                <w:sz w:val="24"/>
                <w:szCs w:val="24"/>
              </w:rPr>
            </w:pPr>
            <w:r>
              <w:t xml:space="preserve">100% </w:t>
            </w:r>
            <w:proofErr w:type="spellStart"/>
            <w:r>
              <w:t>DoD</w:t>
            </w:r>
            <w:proofErr w:type="spellEnd"/>
          </w:p>
        </w:tc>
        <w:tc>
          <w:tcPr>
            <w:tcW w:w="2520" w:type="dxa"/>
            <w:shd w:val="clear" w:color="auto" w:fill="EEEEEE"/>
            <w:vAlign w:val="center"/>
            <w:hideMark/>
          </w:tcPr>
          <w:p w:rsidR="009E6D90" w:rsidRDefault="009E6D90">
            <w:pPr>
              <w:jc w:val="center"/>
              <w:rPr>
                <w:sz w:val="24"/>
                <w:szCs w:val="24"/>
              </w:rPr>
            </w:pPr>
            <w:r>
              <w:t>~300 / 600</w:t>
            </w:r>
          </w:p>
        </w:tc>
        <w:tc>
          <w:tcPr>
            <w:tcW w:w="0" w:type="auto"/>
            <w:vMerge/>
            <w:vAlign w:val="center"/>
            <w:hideMark/>
          </w:tcPr>
          <w:p w:rsidR="009E6D90" w:rsidRDefault="009E6D90">
            <w:pPr>
              <w:rPr>
                <w:sz w:val="24"/>
                <w:szCs w:val="24"/>
              </w:rPr>
            </w:pPr>
          </w:p>
        </w:tc>
      </w:tr>
      <w:tr w:rsidR="009E6D90" w:rsidTr="009E6D90">
        <w:trPr>
          <w:tblCellSpacing w:w="0" w:type="dxa"/>
        </w:trPr>
        <w:tc>
          <w:tcPr>
            <w:tcW w:w="2520" w:type="dxa"/>
            <w:shd w:val="clear" w:color="auto" w:fill="EEEEEE"/>
            <w:vAlign w:val="center"/>
            <w:hideMark/>
          </w:tcPr>
          <w:p w:rsidR="009E6D90" w:rsidRDefault="009E6D90">
            <w:pPr>
              <w:jc w:val="center"/>
              <w:rPr>
                <w:sz w:val="24"/>
                <w:szCs w:val="24"/>
              </w:rPr>
            </w:pPr>
            <w:r>
              <w:t xml:space="preserve">80% </w:t>
            </w:r>
            <w:proofErr w:type="spellStart"/>
            <w:r>
              <w:t>DoD</w:t>
            </w:r>
            <w:proofErr w:type="spellEnd"/>
          </w:p>
        </w:tc>
        <w:tc>
          <w:tcPr>
            <w:tcW w:w="2520" w:type="dxa"/>
            <w:shd w:val="clear" w:color="auto" w:fill="EEEEEE"/>
            <w:vAlign w:val="center"/>
            <w:hideMark/>
          </w:tcPr>
          <w:p w:rsidR="009E6D90" w:rsidRDefault="009E6D90">
            <w:pPr>
              <w:jc w:val="center"/>
              <w:rPr>
                <w:sz w:val="24"/>
                <w:szCs w:val="24"/>
              </w:rPr>
            </w:pPr>
            <w:r>
              <w:t>~400 / 900</w:t>
            </w:r>
          </w:p>
        </w:tc>
        <w:tc>
          <w:tcPr>
            <w:tcW w:w="0" w:type="auto"/>
            <w:vMerge/>
            <w:vAlign w:val="center"/>
            <w:hideMark/>
          </w:tcPr>
          <w:p w:rsidR="009E6D90" w:rsidRDefault="009E6D90">
            <w:pPr>
              <w:rPr>
                <w:sz w:val="24"/>
                <w:szCs w:val="24"/>
              </w:rPr>
            </w:pPr>
          </w:p>
        </w:tc>
      </w:tr>
      <w:tr w:rsidR="009E6D90" w:rsidTr="009E6D90">
        <w:trPr>
          <w:tblCellSpacing w:w="0" w:type="dxa"/>
        </w:trPr>
        <w:tc>
          <w:tcPr>
            <w:tcW w:w="2520" w:type="dxa"/>
            <w:shd w:val="clear" w:color="auto" w:fill="EEEEEE"/>
            <w:vAlign w:val="center"/>
            <w:hideMark/>
          </w:tcPr>
          <w:p w:rsidR="009E6D90" w:rsidRDefault="009E6D90">
            <w:pPr>
              <w:jc w:val="center"/>
              <w:rPr>
                <w:sz w:val="24"/>
                <w:szCs w:val="24"/>
              </w:rPr>
            </w:pPr>
            <w:r>
              <w:t xml:space="preserve">60% </w:t>
            </w:r>
            <w:proofErr w:type="spellStart"/>
            <w:r>
              <w:t>DoD</w:t>
            </w:r>
            <w:proofErr w:type="spellEnd"/>
          </w:p>
        </w:tc>
        <w:tc>
          <w:tcPr>
            <w:tcW w:w="2520" w:type="dxa"/>
            <w:shd w:val="clear" w:color="auto" w:fill="EEEEEE"/>
            <w:vAlign w:val="center"/>
            <w:hideMark/>
          </w:tcPr>
          <w:p w:rsidR="009E6D90" w:rsidRDefault="009E6D90">
            <w:pPr>
              <w:jc w:val="center"/>
              <w:rPr>
                <w:sz w:val="24"/>
                <w:szCs w:val="24"/>
              </w:rPr>
            </w:pPr>
            <w:r>
              <w:t>~600 / 1,500</w:t>
            </w:r>
          </w:p>
        </w:tc>
        <w:tc>
          <w:tcPr>
            <w:tcW w:w="0" w:type="auto"/>
            <w:vMerge/>
            <w:vAlign w:val="center"/>
            <w:hideMark/>
          </w:tcPr>
          <w:p w:rsidR="009E6D90" w:rsidRDefault="009E6D90">
            <w:pPr>
              <w:rPr>
                <w:sz w:val="24"/>
                <w:szCs w:val="24"/>
              </w:rPr>
            </w:pPr>
          </w:p>
        </w:tc>
      </w:tr>
      <w:tr w:rsidR="009E6D90" w:rsidTr="009E6D90">
        <w:trPr>
          <w:tblCellSpacing w:w="0" w:type="dxa"/>
        </w:trPr>
        <w:tc>
          <w:tcPr>
            <w:tcW w:w="2520" w:type="dxa"/>
            <w:shd w:val="clear" w:color="auto" w:fill="EEEEEE"/>
            <w:vAlign w:val="center"/>
            <w:hideMark/>
          </w:tcPr>
          <w:p w:rsidR="009E6D90" w:rsidRDefault="009E6D90">
            <w:pPr>
              <w:jc w:val="center"/>
              <w:rPr>
                <w:sz w:val="24"/>
                <w:szCs w:val="24"/>
              </w:rPr>
            </w:pPr>
            <w:r>
              <w:t xml:space="preserve">40% </w:t>
            </w:r>
            <w:proofErr w:type="spellStart"/>
            <w:r>
              <w:t>DoD</w:t>
            </w:r>
            <w:proofErr w:type="spellEnd"/>
          </w:p>
        </w:tc>
        <w:tc>
          <w:tcPr>
            <w:tcW w:w="2520" w:type="dxa"/>
            <w:shd w:val="clear" w:color="auto" w:fill="EEEEEE"/>
            <w:vAlign w:val="center"/>
            <w:hideMark/>
          </w:tcPr>
          <w:p w:rsidR="009E6D90" w:rsidRDefault="009E6D90">
            <w:pPr>
              <w:jc w:val="center"/>
              <w:rPr>
                <w:sz w:val="24"/>
                <w:szCs w:val="24"/>
              </w:rPr>
            </w:pPr>
            <w:r>
              <w:t>~1,500 / 3,000</w:t>
            </w:r>
          </w:p>
        </w:tc>
        <w:tc>
          <w:tcPr>
            <w:tcW w:w="0" w:type="auto"/>
            <w:vMerge/>
            <w:vAlign w:val="center"/>
            <w:hideMark/>
          </w:tcPr>
          <w:p w:rsidR="009E6D90" w:rsidRDefault="009E6D90">
            <w:pPr>
              <w:rPr>
                <w:sz w:val="24"/>
                <w:szCs w:val="24"/>
              </w:rPr>
            </w:pPr>
          </w:p>
        </w:tc>
      </w:tr>
      <w:tr w:rsidR="009E6D90" w:rsidTr="009E6D90">
        <w:trPr>
          <w:tblCellSpacing w:w="0" w:type="dxa"/>
        </w:trPr>
        <w:tc>
          <w:tcPr>
            <w:tcW w:w="2520" w:type="dxa"/>
            <w:shd w:val="clear" w:color="auto" w:fill="EEEEEE"/>
            <w:vAlign w:val="center"/>
            <w:hideMark/>
          </w:tcPr>
          <w:p w:rsidR="009E6D90" w:rsidRDefault="009E6D90">
            <w:pPr>
              <w:jc w:val="center"/>
              <w:rPr>
                <w:sz w:val="24"/>
                <w:szCs w:val="24"/>
              </w:rPr>
            </w:pPr>
            <w:r>
              <w:t xml:space="preserve">20% </w:t>
            </w:r>
            <w:proofErr w:type="spellStart"/>
            <w:r>
              <w:t>DoD</w:t>
            </w:r>
            <w:proofErr w:type="spellEnd"/>
          </w:p>
        </w:tc>
        <w:tc>
          <w:tcPr>
            <w:tcW w:w="2520" w:type="dxa"/>
            <w:shd w:val="clear" w:color="auto" w:fill="EEEEEE"/>
            <w:vAlign w:val="center"/>
            <w:hideMark/>
          </w:tcPr>
          <w:p w:rsidR="009E6D90" w:rsidRDefault="009E6D90">
            <w:pPr>
              <w:jc w:val="center"/>
              <w:rPr>
                <w:sz w:val="24"/>
                <w:szCs w:val="24"/>
              </w:rPr>
            </w:pPr>
            <w:r>
              <w:t>~1,500 / 9,000</w:t>
            </w:r>
          </w:p>
        </w:tc>
        <w:tc>
          <w:tcPr>
            <w:tcW w:w="0" w:type="auto"/>
            <w:vMerge/>
            <w:vAlign w:val="center"/>
            <w:hideMark/>
          </w:tcPr>
          <w:p w:rsidR="009E6D90" w:rsidRDefault="009E6D90">
            <w:pPr>
              <w:rPr>
                <w:sz w:val="24"/>
                <w:szCs w:val="24"/>
              </w:rPr>
            </w:pPr>
          </w:p>
        </w:tc>
      </w:tr>
      <w:tr w:rsidR="009E6D90" w:rsidTr="009E6D90">
        <w:trPr>
          <w:tblCellSpacing w:w="0" w:type="dxa"/>
        </w:trPr>
        <w:tc>
          <w:tcPr>
            <w:tcW w:w="2520" w:type="dxa"/>
            <w:shd w:val="clear" w:color="auto" w:fill="EEEEEE"/>
            <w:vAlign w:val="center"/>
            <w:hideMark/>
          </w:tcPr>
          <w:p w:rsidR="009E6D90" w:rsidRDefault="009E6D90">
            <w:pPr>
              <w:jc w:val="center"/>
              <w:rPr>
                <w:sz w:val="24"/>
                <w:szCs w:val="24"/>
              </w:rPr>
            </w:pPr>
            <w:r>
              <w:t xml:space="preserve">10% </w:t>
            </w:r>
            <w:proofErr w:type="spellStart"/>
            <w:r>
              <w:t>DoD</w:t>
            </w:r>
            <w:proofErr w:type="spellEnd"/>
          </w:p>
        </w:tc>
        <w:tc>
          <w:tcPr>
            <w:tcW w:w="2520" w:type="dxa"/>
            <w:shd w:val="clear" w:color="auto" w:fill="EEEEEE"/>
            <w:vAlign w:val="center"/>
            <w:hideMark/>
          </w:tcPr>
          <w:p w:rsidR="009E6D90" w:rsidRDefault="009E6D90">
            <w:pPr>
              <w:jc w:val="center"/>
              <w:rPr>
                <w:sz w:val="24"/>
                <w:szCs w:val="24"/>
              </w:rPr>
            </w:pPr>
            <w:r>
              <w:t>~10,000 / 15,000</w:t>
            </w:r>
          </w:p>
        </w:tc>
        <w:tc>
          <w:tcPr>
            <w:tcW w:w="0" w:type="auto"/>
            <w:vMerge/>
            <w:vAlign w:val="center"/>
            <w:hideMark/>
          </w:tcPr>
          <w:p w:rsidR="009E6D90" w:rsidRDefault="009E6D90">
            <w:pPr>
              <w:rPr>
                <w:sz w:val="24"/>
                <w:szCs w:val="24"/>
              </w:rPr>
            </w:pPr>
          </w:p>
        </w:tc>
      </w:tr>
    </w:tbl>
    <w:p w:rsidR="009E6D90" w:rsidRPr="009E6D90" w:rsidRDefault="009E6D90" w:rsidP="009E6D90">
      <w:pPr>
        <w:pStyle w:val="a3"/>
        <w:rPr>
          <w:lang w:val="en-US"/>
        </w:rPr>
      </w:pPr>
      <w:r w:rsidRPr="009E6D90">
        <w:rPr>
          <w:lang w:val="en-US"/>
        </w:rPr>
        <w:br/>
        <w:t xml:space="preserve">Lithium-ion suffers from stress when exposed to heat, so does keeping a cell at a high charge voltage. A battery dwelling above 30°C (86°F) is considered </w:t>
      </w:r>
      <w:r w:rsidRPr="009E6D90">
        <w:rPr>
          <w:rStyle w:val="a6"/>
          <w:lang w:val="en-US"/>
        </w:rPr>
        <w:t>elevated temperature</w:t>
      </w:r>
      <w:r w:rsidRPr="009E6D90">
        <w:rPr>
          <w:lang w:val="en-US"/>
        </w:rPr>
        <w:t xml:space="preserve"> and for most Li-ion a voltage above 4.10V/cell is deemed as </w:t>
      </w:r>
      <w:r w:rsidRPr="009E6D90">
        <w:rPr>
          <w:rStyle w:val="a6"/>
          <w:lang w:val="en-US"/>
        </w:rPr>
        <w:t>high voltage</w:t>
      </w:r>
      <w:r w:rsidRPr="009E6D90">
        <w:rPr>
          <w:lang w:val="en-US"/>
        </w:rPr>
        <w:t xml:space="preserve">. Exposing the battery to high temperature and dwelling in a full state-of-charge for an extended time can be more stressful than cycling. Table 3 demonstrates capacity loss as a function of temperature and </w:t>
      </w:r>
      <w:proofErr w:type="spellStart"/>
      <w:r w:rsidRPr="009E6D90">
        <w:rPr>
          <w:lang w:val="en-US"/>
        </w:rPr>
        <w:t>SoC.</w:t>
      </w:r>
      <w:proofErr w:type="spellEnd"/>
      <w:r w:rsidRPr="009E6D90">
        <w:rPr>
          <w:lang w:val="en-US"/>
        </w:rPr>
        <w:br/>
        <w:t> </w:t>
      </w:r>
    </w:p>
    <w:tbl>
      <w:tblPr>
        <w:tblW w:w="8550" w:type="dxa"/>
        <w:tblCellSpacing w:w="0" w:type="dxa"/>
        <w:tblCellMar>
          <w:top w:w="150" w:type="dxa"/>
          <w:left w:w="150" w:type="dxa"/>
          <w:bottom w:w="150" w:type="dxa"/>
          <w:right w:w="150" w:type="dxa"/>
        </w:tblCellMar>
        <w:tblLook w:val="04A0"/>
      </w:tblPr>
      <w:tblGrid>
        <w:gridCol w:w="1690"/>
        <w:gridCol w:w="1602"/>
        <w:gridCol w:w="1610"/>
        <w:gridCol w:w="3648"/>
      </w:tblGrid>
      <w:tr w:rsidR="009E6D90" w:rsidTr="009E6D90">
        <w:trPr>
          <w:tblCellSpacing w:w="0" w:type="dxa"/>
        </w:trPr>
        <w:tc>
          <w:tcPr>
            <w:tcW w:w="0" w:type="auto"/>
            <w:shd w:val="clear" w:color="auto" w:fill="E0E0E0"/>
            <w:vAlign w:val="center"/>
            <w:hideMark/>
          </w:tcPr>
          <w:p w:rsidR="009E6D90" w:rsidRDefault="009E6D90">
            <w:pPr>
              <w:pStyle w:val="a3"/>
              <w:jc w:val="center"/>
            </w:pPr>
            <w:proofErr w:type="spellStart"/>
            <w:r>
              <w:rPr>
                <w:rStyle w:val="a4"/>
              </w:rPr>
              <w:t>Temperature</w:t>
            </w:r>
            <w:proofErr w:type="spellEnd"/>
          </w:p>
        </w:tc>
        <w:tc>
          <w:tcPr>
            <w:tcW w:w="0" w:type="auto"/>
            <w:shd w:val="clear" w:color="auto" w:fill="E0E0E0"/>
            <w:vAlign w:val="center"/>
            <w:hideMark/>
          </w:tcPr>
          <w:p w:rsidR="009E6D90" w:rsidRDefault="009E6D90">
            <w:pPr>
              <w:pStyle w:val="a3"/>
              <w:jc w:val="center"/>
            </w:pPr>
            <w:r>
              <w:rPr>
                <w:rStyle w:val="a4"/>
              </w:rPr>
              <w:t xml:space="preserve">40% </w:t>
            </w:r>
            <w:proofErr w:type="spellStart"/>
            <w:r>
              <w:rPr>
                <w:rStyle w:val="a4"/>
              </w:rPr>
              <w:t>charge</w:t>
            </w:r>
            <w:proofErr w:type="spellEnd"/>
          </w:p>
        </w:tc>
        <w:tc>
          <w:tcPr>
            <w:tcW w:w="0" w:type="auto"/>
            <w:shd w:val="clear" w:color="auto" w:fill="E0E0E0"/>
            <w:vAlign w:val="center"/>
            <w:hideMark/>
          </w:tcPr>
          <w:p w:rsidR="009E6D90" w:rsidRDefault="009E6D90">
            <w:pPr>
              <w:pStyle w:val="a3"/>
              <w:jc w:val="center"/>
            </w:pPr>
            <w:r>
              <w:rPr>
                <w:rStyle w:val="a4"/>
              </w:rPr>
              <w:t xml:space="preserve">100% </w:t>
            </w:r>
            <w:proofErr w:type="spellStart"/>
            <w:r>
              <w:rPr>
                <w:rStyle w:val="a4"/>
              </w:rPr>
              <w:t>charge</w:t>
            </w:r>
            <w:proofErr w:type="spellEnd"/>
          </w:p>
        </w:tc>
        <w:tc>
          <w:tcPr>
            <w:tcW w:w="3900" w:type="dxa"/>
            <w:vMerge w:val="restart"/>
            <w:vAlign w:val="center"/>
            <w:hideMark/>
          </w:tcPr>
          <w:p w:rsidR="009E6D90" w:rsidRPr="009E6D90" w:rsidRDefault="009E6D90">
            <w:pPr>
              <w:pStyle w:val="a3"/>
              <w:ind w:left="259"/>
              <w:rPr>
                <w:lang w:val="en-US"/>
              </w:rPr>
            </w:pPr>
            <w:r w:rsidRPr="009E6D90">
              <w:rPr>
                <w:rStyle w:val="a4"/>
                <w:lang w:val="en-US"/>
              </w:rPr>
              <w:t xml:space="preserve">Table 3: Estimated recoverable capacity when storing Li-ion for one year at various temperatures. </w:t>
            </w:r>
            <w:r w:rsidRPr="009E6D90">
              <w:rPr>
                <w:lang w:val="en-US"/>
              </w:rPr>
              <w:t>Elevated temperature hastens permanent capacity loss. Not all Li-ion systems behave the same.</w:t>
            </w:r>
          </w:p>
        </w:tc>
      </w:tr>
      <w:tr w:rsidR="009E6D90" w:rsidTr="009E6D90">
        <w:trPr>
          <w:tblCellSpacing w:w="0" w:type="dxa"/>
        </w:trPr>
        <w:tc>
          <w:tcPr>
            <w:tcW w:w="1695" w:type="dxa"/>
            <w:shd w:val="clear" w:color="auto" w:fill="EEEEEE"/>
            <w:hideMark/>
          </w:tcPr>
          <w:p w:rsidR="009E6D90" w:rsidRDefault="009E6D90">
            <w:pPr>
              <w:jc w:val="center"/>
              <w:rPr>
                <w:sz w:val="24"/>
                <w:szCs w:val="24"/>
              </w:rPr>
            </w:pPr>
            <w:r>
              <w:t>0°C</w:t>
            </w:r>
          </w:p>
        </w:tc>
        <w:tc>
          <w:tcPr>
            <w:tcW w:w="1695" w:type="dxa"/>
            <w:shd w:val="clear" w:color="auto" w:fill="EEEEEE"/>
            <w:hideMark/>
          </w:tcPr>
          <w:p w:rsidR="009E6D90" w:rsidRDefault="009E6D90">
            <w:pPr>
              <w:jc w:val="center"/>
              <w:rPr>
                <w:sz w:val="24"/>
                <w:szCs w:val="24"/>
              </w:rPr>
            </w:pPr>
            <w:r>
              <w:t>98%</w:t>
            </w:r>
          </w:p>
        </w:tc>
        <w:tc>
          <w:tcPr>
            <w:tcW w:w="1695" w:type="dxa"/>
            <w:shd w:val="clear" w:color="auto" w:fill="EEEEEE"/>
            <w:hideMark/>
          </w:tcPr>
          <w:p w:rsidR="009E6D90" w:rsidRDefault="009E6D90">
            <w:pPr>
              <w:jc w:val="center"/>
              <w:rPr>
                <w:sz w:val="24"/>
                <w:szCs w:val="24"/>
              </w:rPr>
            </w:pPr>
            <w:r>
              <w:t>94%</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25°C</w:t>
            </w:r>
          </w:p>
        </w:tc>
        <w:tc>
          <w:tcPr>
            <w:tcW w:w="1695" w:type="dxa"/>
            <w:shd w:val="clear" w:color="auto" w:fill="EEEEEE"/>
            <w:hideMark/>
          </w:tcPr>
          <w:p w:rsidR="009E6D90" w:rsidRDefault="009E6D90">
            <w:pPr>
              <w:jc w:val="center"/>
              <w:rPr>
                <w:sz w:val="24"/>
                <w:szCs w:val="24"/>
              </w:rPr>
            </w:pPr>
            <w:r>
              <w:t>96%</w:t>
            </w:r>
          </w:p>
        </w:tc>
        <w:tc>
          <w:tcPr>
            <w:tcW w:w="1695" w:type="dxa"/>
            <w:shd w:val="clear" w:color="auto" w:fill="EEEEEE"/>
            <w:hideMark/>
          </w:tcPr>
          <w:p w:rsidR="009E6D90" w:rsidRDefault="009E6D90">
            <w:pPr>
              <w:jc w:val="center"/>
              <w:rPr>
                <w:sz w:val="24"/>
                <w:szCs w:val="24"/>
              </w:rPr>
            </w:pPr>
            <w:r>
              <w:t>80%</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40°C</w:t>
            </w:r>
          </w:p>
        </w:tc>
        <w:tc>
          <w:tcPr>
            <w:tcW w:w="1695" w:type="dxa"/>
            <w:shd w:val="clear" w:color="auto" w:fill="EEEEEE"/>
            <w:hideMark/>
          </w:tcPr>
          <w:p w:rsidR="009E6D90" w:rsidRDefault="009E6D90">
            <w:pPr>
              <w:jc w:val="center"/>
              <w:rPr>
                <w:sz w:val="24"/>
                <w:szCs w:val="24"/>
              </w:rPr>
            </w:pPr>
            <w:r>
              <w:t>85%</w:t>
            </w:r>
          </w:p>
        </w:tc>
        <w:tc>
          <w:tcPr>
            <w:tcW w:w="1695" w:type="dxa"/>
            <w:shd w:val="clear" w:color="auto" w:fill="EEEEEE"/>
            <w:hideMark/>
          </w:tcPr>
          <w:p w:rsidR="009E6D90" w:rsidRDefault="009E6D90">
            <w:pPr>
              <w:jc w:val="center"/>
              <w:rPr>
                <w:sz w:val="24"/>
                <w:szCs w:val="24"/>
              </w:rPr>
            </w:pPr>
            <w:r>
              <w:t>65%</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60°C</w:t>
            </w:r>
          </w:p>
        </w:tc>
        <w:tc>
          <w:tcPr>
            <w:tcW w:w="1695" w:type="dxa"/>
            <w:shd w:val="clear" w:color="auto" w:fill="EEEEEE"/>
            <w:hideMark/>
          </w:tcPr>
          <w:p w:rsidR="009E6D90" w:rsidRDefault="009E6D90">
            <w:pPr>
              <w:jc w:val="center"/>
              <w:rPr>
                <w:sz w:val="24"/>
                <w:szCs w:val="24"/>
              </w:rPr>
            </w:pPr>
            <w:r>
              <w:t>75%</w:t>
            </w:r>
          </w:p>
        </w:tc>
        <w:tc>
          <w:tcPr>
            <w:tcW w:w="1695" w:type="dxa"/>
            <w:shd w:val="clear" w:color="auto" w:fill="EEEEEE"/>
            <w:hideMark/>
          </w:tcPr>
          <w:p w:rsidR="009E6D90" w:rsidRDefault="009E6D90">
            <w:pPr>
              <w:jc w:val="center"/>
              <w:rPr>
                <w:sz w:val="24"/>
                <w:szCs w:val="24"/>
              </w:rPr>
            </w:pPr>
            <w:r>
              <w:t>60%</w:t>
            </w:r>
            <w:r>
              <w:br/>
              <w:t>(</w:t>
            </w:r>
            <w:proofErr w:type="spellStart"/>
            <w:r>
              <w:t>after</w:t>
            </w:r>
            <w:proofErr w:type="spellEnd"/>
            <w:r>
              <w:t xml:space="preserve"> 3 </w:t>
            </w:r>
            <w:proofErr w:type="spellStart"/>
            <w:r>
              <w:t>months</w:t>
            </w:r>
            <w:proofErr w:type="spellEnd"/>
            <w:r>
              <w:t>)</w:t>
            </w:r>
          </w:p>
        </w:tc>
        <w:tc>
          <w:tcPr>
            <w:tcW w:w="0" w:type="auto"/>
            <w:vMerge/>
            <w:vAlign w:val="center"/>
            <w:hideMark/>
          </w:tcPr>
          <w:p w:rsidR="009E6D90" w:rsidRDefault="009E6D90">
            <w:pPr>
              <w:rPr>
                <w:sz w:val="24"/>
                <w:szCs w:val="24"/>
              </w:rPr>
            </w:pPr>
          </w:p>
        </w:tc>
      </w:tr>
    </w:tbl>
    <w:p w:rsidR="009E6D90" w:rsidRDefault="009E6D90" w:rsidP="009E6D90">
      <w:pPr>
        <w:pStyle w:val="a3"/>
      </w:pPr>
      <w:r>
        <w:t> </w:t>
      </w:r>
    </w:p>
    <w:p w:rsidR="009E6D90" w:rsidRPr="009E6D90" w:rsidRDefault="009E6D90" w:rsidP="009E6D90">
      <w:pPr>
        <w:pStyle w:val="a3"/>
        <w:rPr>
          <w:lang w:val="en-US"/>
        </w:rPr>
      </w:pPr>
      <w:r w:rsidRPr="009E6D90">
        <w:rPr>
          <w:lang w:val="en-US"/>
        </w:rPr>
        <w:lastRenderedPageBreak/>
        <w:t>Most Li-ions charge to 4.20V/cell, and every reduction in peak charge voltage of 0.10V/cell is said to double the cycle life. For example, a lithium-ion cell charged to 4.20V/cell typically delivers 300–500 cycles. If charged to only 4.10V/cell, the life can be prolonged to 600–1,000 cycles; 4.0V/cell should deliver 1,200–2,000 and 3.90V/cell should provide 2,400–4,000 cycles.</w:t>
      </w:r>
      <w:r w:rsidRPr="009E6D90">
        <w:rPr>
          <w:lang w:val="en-US"/>
        </w:rPr>
        <w:br/>
      </w:r>
      <w:r w:rsidRPr="009E6D90">
        <w:rPr>
          <w:lang w:val="en-US"/>
        </w:rPr>
        <w:br/>
        <w:t>On the negative side, a lower peak charge voltage reduces the capacity the battery stores. As a simple guideline, every 70mV reduction in charge voltage lowers the overall capacity by 10 percent. Applying the peak charge voltage on a subsequent charge will restore the full capacity.</w:t>
      </w:r>
      <w:r w:rsidRPr="009E6D90">
        <w:rPr>
          <w:lang w:val="en-US"/>
        </w:rPr>
        <w:br/>
      </w:r>
      <w:r w:rsidRPr="009E6D90">
        <w:rPr>
          <w:lang w:val="en-US"/>
        </w:rPr>
        <w:br/>
        <w:t>In terms of longevity, the optimal charge voltage is 3.92V/cell. Battery experts believe that this threshold eliminates all voltage-related stresses; going lower may not gain further benefits but induce other symptoms. Table 4 summarizes the capacity as a function of charge levels. (All values are estimated; Energy Cells with higher voltage thresholds may deviate.)</w:t>
      </w:r>
      <w:r w:rsidRPr="009E6D90">
        <w:rPr>
          <w:lang w:val="en-US"/>
        </w:rPr>
        <w:br/>
        <w:t> </w:t>
      </w:r>
    </w:p>
    <w:tbl>
      <w:tblPr>
        <w:tblW w:w="8550" w:type="dxa"/>
        <w:tblCellSpacing w:w="0" w:type="dxa"/>
        <w:tblCellMar>
          <w:top w:w="150" w:type="dxa"/>
          <w:left w:w="150" w:type="dxa"/>
          <w:bottom w:w="150" w:type="dxa"/>
          <w:right w:w="150" w:type="dxa"/>
        </w:tblCellMar>
        <w:tblLook w:val="04A0"/>
      </w:tblPr>
      <w:tblGrid>
        <w:gridCol w:w="1630"/>
        <w:gridCol w:w="1657"/>
        <w:gridCol w:w="1652"/>
        <w:gridCol w:w="3611"/>
      </w:tblGrid>
      <w:tr w:rsidR="009E6D90" w:rsidTr="009E6D90">
        <w:trPr>
          <w:tblCellSpacing w:w="0" w:type="dxa"/>
        </w:trPr>
        <w:tc>
          <w:tcPr>
            <w:tcW w:w="1695" w:type="dxa"/>
            <w:shd w:val="clear" w:color="auto" w:fill="E0E0E0"/>
            <w:vAlign w:val="center"/>
            <w:hideMark/>
          </w:tcPr>
          <w:p w:rsidR="009E6D90" w:rsidRDefault="009E6D90">
            <w:pPr>
              <w:pStyle w:val="a3"/>
              <w:jc w:val="center"/>
            </w:pPr>
            <w:proofErr w:type="spellStart"/>
            <w:r>
              <w:rPr>
                <w:rStyle w:val="a4"/>
              </w:rPr>
              <w:t>Charge</w:t>
            </w:r>
            <w:proofErr w:type="spellEnd"/>
            <w:r>
              <w:rPr>
                <w:rStyle w:val="a4"/>
              </w:rPr>
              <w:t xml:space="preserve"> </w:t>
            </w:r>
            <w:proofErr w:type="spellStart"/>
            <w:r>
              <w:rPr>
                <w:rStyle w:val="a4"/>
              </w:rPr>
              <w:t>level</w:t>
            </w:r>
            <w:proofErr w:type="spellEnd"/>
            <w:r>
              <w:rPr>
                <w:rStyle w:val="a4"/>
              </w:rPr>
              <w:t xml:space="preserve"> </w:t>
            </w:r>
            <w:r>
              <w:t>(V/</w:t>
            </w:r>
            <w:proofErr w:type="spellStart"/>
            <w:r>
              <w:t>cell</w:t>
            </w:r>
            <w:proofErr w:type="spellEnd"/>
            <w:r>
              <w:t>)</w:t>
            </w:r>
          </w:p>
        </w:tc>
        <w:tc>
          <w:tcPr>
            <w:tcW w:w="1695" w:type="dxa"/>
            <w:shd w:val="clear" w:color="auto" w:fill="E0E0E0"/>
            <w:vAlign w:val="center"/>
            <w:hideMark/>
          </w:tcPr>
          <w:p w:rsidR="009E6D90" w:rsidRDefault="009E6D90">
            <w:pPr>
              <w:pStyle w:val="a3"/>
              <w:jc w:val="center"/>
            </w:pPr>
            <w:proofErr w:type="spellStart"/>
            <w:r>
              <w:rPr>
                <w:rStyle w:val="a4"/>
              </w:rPr>
              <w:t>Discharge</w:t>
            </w:r>
            <w:proofErr w:type="spellEnd"/>
            <w:r>
              <w:rPr>
                <w:rStyle w:val="a4"/>
              </w:rPr>
              <w:t xml:space="preserve"> </w:t>
            </w:r>
            <w:proofErr w:type="spellStart"/>
            <w:r>
              <w:rPr>
                <w:rStyle w:val="a4"/>
              </w:rPr>
              <w:t>cycles</w:t>
            </w:r>
            <w:proofErr w:type="spellEnd"/>
          </w:p>
        </w:tc>
        <w:tc>
          <w:tcPr>
            <w:tcW w:w="1695" w:type="dxa"/>
            <w:shd w:val="clear" w:color="auto" w:fill="E0E0E0"/>
            <w:vAlign w:val="center"/>
            <w:hideMark/>
          </w:tcPr>
          <w:p w:rsidR="009E6D90" w:rsidRDefault="009E6D90">
            <w:pPr>
              <w:pStyle w:val="a3"/>
              <w:jc w:val="center"/>
            </w:pPr>
            <w:proofErr w:type="spellStart"/>
            <w:r>
              <w:rPr>
                <w:rStyle w:val="a4"/>
              </w:rPr>
              <w:t>Available</w:t>
            </w:r>
            <w:proofErr w:type="spellEnd"/>
            <w:r>
              <w:rPr>
                <w:rStyle w:val="a4"/>
              </w:rPr>
              <w:t xml:space="preserve"> </w:t>
            </w:r>
            <w:proofErr w:type="spellStart"/>
            <w:r>
              <w:rPr>
                <w:rStyle w:val="a4"/>
              </w:rPr>
              <w:t>stored</w:t>
            </w:r>
            <w:proofErr w:type="spellEnd"/>
            <w:r>
              <w:rPr>
                <w:rStyle w:val="a4"/>
              </w:rPr>
              <w:t xml:space="preserve"> </w:t>
            </w:r>
            <w:proofErr w:type="spellStart"/>
            <w:r>
              <w:rPr>
                <w:rStyle w:val="a4"/>
              </w:rPr>
              <w:t>energy</w:t>
            </w:r>
            <w:proofErr w:type="spellEnd"/>
          </w:p>
        </w:tc>
        <w:tc>
          <w:tcPr>
            <w:tcW w:w="3825" w:type="dxa"/>
            <w:vMerge w:val="restart"/>
            <w:vAlign w:val="center"/>
            <w:hideMark/>
          </w:tcPr>
          <w:p w:rsidR="009E6D90" w:rsidRPr="009E6D90" w:rsidRDefault="009E6D90">
            <w:pPr>
              <w:pStyle w:val="a3"/>
              <w:ind w:left="259"/>
              <w:rPr>
                <w:lang w:val="en-US"/>
              </w:rPr>
            </w:pPr>
            <w:r w:rsidRPr="009E6D90">
              <w:rPr>
                <w:rStyle w:val="a4"/>
                <w:lang w:val="en-US"/>
              </w:rPr>
              <w:t>Table 4: Discharge cycles and capacity as a function of charge voltage limit. </w:t>
            </w:r>
            <w:r w:rsidRPr="009E6D90">
              <w:rPr>
                <w:lang w:val="en-US"/>
              </w:rPr>
              <w:t>Every 0.10V drop below 4.20V/cell doubles the cycle but holds less capacity. Raising the voltage above 4.20V/cell would shorten the life. The readings reflect regular Li-ion charging to 4.20V/cell.</w:t>
            </w:r>
          </w:p>
          <w:p w:rsidR="009E6D90" w:rsidRPr="009E6D90" w:rsidRDefault="009E6D90">
            <w:pPr>
              <w:pStyle w:val="a3"/>
              <w:ind w:left="259"/>
              <w:rPr>
                <w:lang w:val="en-US"/>
              </w:rPr>
            </w:pPr>
            <w:r w:rsidRPr="009E6D90">
              <w:rPr>
                <w:rStyle w:val="a4"/>
                <w:lang w:val="en-US"/>
              </w:rPr>
              <w:t>Guideline:</w:t>
            </w:r>
            <w:r w:rsidRPr="009E6D90">
              <w:rPr>
                <w:lang w:val="en-US"/>
              </w:rPr>
              <w:t xml:space="preserve"> Every 70mV drop in charge voltage lowers the usable capacity by about 10%.</w:t>
            </w:r>
            <w:r w:rsidRPr="009E6D90">
              <w:rPr>
                <w:lang w:val="en-US"/>
              </w:rPr>
              <w:br/>
            </w:r>
            <w:r w:rsidRPr="009E6D90">
              <w:rPr>
                <w:lang w:val="en-US"/>
              </w:rPr>
              <w:br/>
            </w:r>
            <w:r w:rsidRPr="009E6D90">
              <w:rPr>
                <w:rStyle w:val="a4"/>
                <w:lang w:val="en-US"/>
              </w:rPr>
              <w:t xml:space="preserve">Note: </w:t>
            </w:r>
            <w:r w:rsidRPr="009E6D90">
              <w:rPr>
                <w:lang w:val="en-US"/>
              </w:rPr>
              <w:t>Partial charging negates the benefit of Li-ion in terms of high specific energy.</w:t>
            </w:r>
          </w:p>
        </w:tc>
      </w:tr>
      <w:tr w:rsidR="009E6D90" w:rsidTr="009E6D90">
        <w:trPr>
          <w:tblCellSpacing w:w="0" w:type="dxa"/>
        </w:trPr>
        <w:tc>
          <w:tcPr>
            <w:tcW w:w="1695" w:type="dxa"/>
            <w:shd w:val="clear" w:color="auto" w:fill="EEEEEE"/>
            <w:hideMark/>
          </w:tcPr>
          <w:p w:rsidR="009E6D90" w:rsidRDefault="009E6D90">
            <w:pPr>
              <w:jc w:val="center"/>
              <w:rPr>
                <w:sz w:val="24"/>
                <w:szCs w:val="24"/>
              </w:rPr>
            </w:pPr>
            <w:r>
              <w:t>[4.30]</w:t>
            </w:r>
          </w:p>
        </w:tc>
        <w:tc>
          <w:tcPr>
            <w:tcW w:w="1695" w:type="dxa"/>
            <w:shd w:val="clear" w:color="auto" w:fill="EEEEEE"/>
            <w:hideMark/>
          </w:tcPr>
          <w:p w:rsidR="009E6D90" w:rsidRDefault="009E6D90">
            <w:pPr>
              <w:jc w:val="center"/>
              <w:rPr>
                <w:sz w:val="24"/>
                <w:szCs w:val="24"/>
              </w:rPr>
            </w:pPr>
            <w:r>
              <w:t>[150–250]</w:t>
            </w:r>
          </w:p>
        </w:tc>
        <w:tc>
          <w:tcPr>
            <w:tcW w:w="1695" w:type="dxa"/>
            <w:shd w:val="clear" w:color="auto" w:fill="EEEEEE"/>
            <w:hideMark/>
          </w:tcPr>
          <w:p w:rsidR="009E6D90" w:rsidRDefault="009E6D90">
            <w:pPr>
              <w:jc w:val="center"/>
              <w:rPr>
                <w:sz w:val="24"/>
                <w:szCs w:val="24"/>
              </w:rPr>
            </w:pPr>
            <w:r>
              <w:t>[110–115%]</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4.25</w:t>
            </w:r>
          </w:p>
        </w:tc>
        <w:tc>
          <w:tcPr>
            <w:tcW w:w="1695" w:type="dxa"/>
            <w:shd w:val="clear" w:color="auto" w:fill="EEEEEE"/>
            <w:hideMark/>
          </w:tcPr>
          <w:p w:rsidR="009E6D90" w:rsidRDefault="009E6D90">
            <w:pPr>
              <w:jc w:val="center"/>
              <w:rPr>
                <w:sz w:val="24"/>
                <w:szCs w:val="24"/>
              </w:rPr>
            </w:pPr>
            <w:r>
              <w:t>200–350</w:t>
            </w:r>
          </w:p>
        </w:tc>
        <w:tc>
          <w:tcPr>
            <w:tcW w:w="1695" w:type="dxa"/>
            <w:shd w:val="clear" w:color="auto" w:fill="EEEEEE"/>
            <w:hideMark/>
          </w:tcPr>
          <w:p w:rsidR="009E6D90" w:rsidRDefault="009E6D90">
            <w:pPr>
              <w:jc w:val="center"/>
              <w:rPr>
                <w:sz w:val="24"/>
                <w:szCs w:val="24"/>
              </w:rPr>
            </w:pPr>
            <w:r>
              <w:t>105–110%</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rPr>
                <w:rStyle w:val="a4"/>
              </w:rPr>
              <w:t>4.20</w:t>
            </w:r>
          </w:p>
        </w:tc>
        <w:tc>
          <w:tcPr>
            <w:tcW w:w="1695" w:type="dxa"/>
            <w:shd w:val="clear" w:color="auto" w:fill="EEEEEE"/>
            <w:hideMark/>
          </w:tcPr>
          <w:p w:rsidR="009E6D90" w:rsidRDefault="009E6D90">
            <w:pPr>
              <w:jc w:val="center"/>
              <w:rPr>
                <w:sz w:val="24"/>
                <w:szCs w:val="24"/>
              </w:rPr>
            </w:pPr>
            <w:r>
              <w:rPr>
                <w:rStyle w:val="a4"/>
              </w:rPr>
              <w:t>300–500</w:t>
            </w:r>
          </w:p>
        </w:tc>
        <w:tc>
          <w:tcPr>
            <w:tcW w:w="1695" w:type="dxa"/>
            <w:shd w:val="clear" w:color="auto" w:fill="EEEEEE"/>
            <w:hideMark/>
          </w:tcPr>
          <w:p w:rsidR="009E6D90" w:rsidRDefault="009E6D90">
            <w:pPr>
              <w:jc w:val="center"/>
              <w:rPr>
                <w:sz w:val="24"/>
                <w:szCs w:val="24"/>
              </w:rPr>
            </w:pPr>
            <w:r>
              <w:rPr>
                <w:rStyle w:val="a4"/>
              </w:rPr>
              <w:t>100%</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4.15</w:t>
            </w:r>
          </w:p>
        </w:tc>
        <w:tc>
          <w:tcPr>
            <w:tcW w:w="1695" w:type="dxa"/>
            <w:shd w:val="clear" w:color="auto" w:fill="EEEEEE"/>
            <w:hideMark/>
          </w:tcPr>
          <w:p w:rsidR="009E6D90" w:rsidRDefault="009E6D90">
            <w:pPr>
              <w:jc w:val="center"/>
              <w:rPr>
                <w:sz w:val="24"/>
                <w:szCs w:val="24"/>
              </w:rPr>
            </w:pPr>
            <w:r>
              <w:t>400–700</w:t>
            </w:r>
          </w:p>
        </w:tc>
        <w:tc>
          <w:tcPr>
            <w:tcW w:w="1695" w:type="dxa"/>
            <w:shd w:val="clear" w:color="auto" w:fill="EEEEEE"/>
            <w:hideMark/>
          </w:tcPr>
          <w:p w:rsidR="009E6D90" w:rsidRDefault="009E6D90">
            <w:pPr>
              <w:jc w:val="center"/>
              <w:rPr>
                <w:sz w:val="24"/>
                <w:szCs w:val="24"/>
              </w:rPr>
            </w:pPr>
            <w:r>
              <w:t>90–95%</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4.10</w:t>
            </w:r>
          </w:p>
        </w:tc>
        <w:tc>
          <w:tcPr>
            <w:tcW w:w="1695" w:type="dxa"/>
            <w:shd w:val="clear" w:color="auto" w:fill="EEEEEE"/>
            <w:hideMark/>
          </w:tcPr>
          <w:p w:rsidR="009E6D90" w:rsidRDefault="009E6D90">
            <w:pPr>
              <w:jc w:val="center"/>
              <w:rPr>
                <w:sz w:val="24"/>
                <w:szCs w:val="24"/>
              </w:rPr>
            </w:pPr>
            <w:r>
              <w:t>600–1,000</w:t>
            </w:r>
          </w:p>
        </w:tc>
        <w:tc>
          <w:tcPr>
            <w:tcW w:w="1695" w:type="dxa"/>
            <w:shd w:val="clear" w:color="auto" w:fill="EEEEEE"/>
            <w:hideMark/>
          </w:tcPr>
          <w:p w:rsidR="009E6D90" w:rsidRDefault="009E6D90">
            <w:pPr>
              <w:jc w:val="center"/>
              <w:rPr>
                <w:sz w:val="24"/>
                <w:szCs w:val="24"/>
              </w:rPr>
            </w:pPr>
            <w:r>
              <w:t>85–90%</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4.05</w:t>
            </w:r>
          </w:p>
        </w:tc>
        <w:tc>
          <w:tcPr>
            <w:tcW w:w="1695" w:type="dxa"/>
            <w:shd w:val="clear" w:color="auto" w:fill="EEEEEE"/>
            <w:hideMark/>
          </w:tcPr>
          <w:p w:rsidR="009E6D90" w:rsidRDefault="009E6D90">
            <w:pPr>
              <w:jc w:val="center"/>
              <w:rPr>
                <w:sz w:val="24"/>
                <w:szCs w:val="24"/>
              </w:rPr>
            </w:pPr>
            <w:r>
              <w:t>850–1,500</w:t>
            </w:r>
          </w:p>
        </w:tc>
        <w:tc>
          <w:tcPr>
            <w:tcW w:w="1695" w:type="dxa"/>
            <w:shd w:val="clear" w:color="auto" w:fill="EEEEEE"/>
            <w:hideMark/>
          </w:tcPr>
          <w:p w:rsidR="009E6D90" w:rsidRDefault="009E6D90">
            <w:pPr>
              <w:jc w:val="center"/>
              <w:rPr>
                <w:sz w:val="24"/>
                <w:szCs w:val="24"/>
              </w:rPr>
            </w:pPr>
            <w:r>
              <w:t>80–85%</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4.00</w:t>
            </w:r>
          </w:p>
        </w:tc>
        <w:tc>
          <w:tcPr>
            <w:tcW w:w="1695" w:type="dxa"/>
            <w:shd w:val="clear" w:color="auto" w:fill="EEEEEE"/>
            <w:hideMark/>
          </w:tcPr>
          <w:p w:rsidR="009E6D90" w:rsidRDefault="009E6D90">
            <w:pPr>
              <w:jc w:val="center"/>
              <w:rPr>
                <w:sz w:val="24"/>
                <w:szCs w:val="24"/>
              </w:rPr>
            </w:pPr>
            <w:r>
              <w:t>1,200–2,000</w:t>
            </w:r>
          </w:p>
        </w:tc>
        <w:tc>
          <w:tcPr>
            <w:tcW w:w="1695" w:type="dxa"/>
            <w:shd w:val="clear" w:color="auto" w:fill="EEEEEE"/>
            <w:hideMark/>
          </w:tcPr>
          <w:p w:rsidR="009E6D90" w:rsidRDefault="009E6D90">
            <w:pPr>
              <w:jc w:val="center"/>
              <w:rPr>
                <w:sz w:val="24"/>
                <w:szCs w:val="24"/>
              </w:rPr>
            </w:pPr>
            <w:r>
              <w:t>70–75%</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3.90</w:t>
            </w:r>
          </w:p>
        </w:tc>
        <w:tc>
          <w:tcPr>
            <w:tcW w:w="1695" w:type="dxa"/>
            <w:shd w:val="clear" w:color="auto" w:fill="EEEEEE"/>
            <w:hideMark/>
          </w:tcPr>
          <w:p w:rsidR="009E6D90" w:rsidRDefault="009E6D90">
            <w:pPr>
              <w:jc w:val="center"/>
              <w:rPr>
                <w:sz w:val="24"/>
                <w:szCs w:val="24"/>
              </w:rPr>
            </w:pPr>
            <w:r>
              <w:t>2,400–4,000</w:t>
            </w:r>
          </w:p>
        </w:tc>
        <w:tc>
          <w:tcPr>
            <w:tcW w:w="1695" w:type="dxa"/>
            <w:shd w:val="clear" w:color="auto" w:fill="EEEEEE"/>
            <w:hideMark/>
          </w:tcPr>
          <w:p w:rsidR="009E6D90" w:rsidRDefault="009E6D90">
            <w:pPr>
              <w:jc w:val="center"/>
              <w:rPr>
                <w:sz w:val="24"/>
                <w:szCs w:val="24"/>
              </w:rPr>
            </w:pPr>
            <w:r>
              <w:t>60–65%</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3.80</w:t>
            </w:r>
          </w:p>
        </w:tc>
        <w:tc>
          <w:tcPr>
            <w:tcW w:w="1695" w:type="dxa"/>
            <w:shd w:val="clear" w:color="auto" w:fill="EEEEEE"/>
            <w:hideMark/>
          </w:tcPr>
          <w:p w:rsidR="009E6D90" w:rsidRDefault="009E6D90">
            <w:pPr>
              <w:jc w:val="center"/>
              <w:rPr>
                <w:sz w:val="24"/>
                <w:szCs w:val="24"/>
              </w:rPr>
            </w:pPr>
            <w:proofErr w:type="spellStart"/>
            <w:r>
              <w:t>See</w:t>
            </w:r>
            <w:proofErr w:type="spellEnd"/>
            <w:r>
              <w:t xml:space="preserve"> </w:t>
            </w:r>
            <w:proofErr w:type="spellStart"/>
            <w:r>
              <w:t>note</w:t>
            </w:r>
            <w:proofErr w:type="spellEnd"/>
          </w:p>
        </w:tc>
        <w:tc>
          <w:tcPr>
            <w:tcW w:w="1695" w:type="dxa"/>
            <w:shd w:val="clear" w:color="auto" w:fill="EEEEEE"/>
            <w:hideMark/>
          </w:tcPr>
          <w:p w:rsidR="009E6D90" w:rsidRDefault="009E6D90">
            <w:pPr>
              <w:jc w:val="center"/>
              <w:rPr>
                <w:sz w:val="24"/>
                <w:szCs w:val="24"/>
              </w:rPr>
            </w:pPr>
            <w:r>
              <w:t>35–40%</w:t>
            </w:r>
          </w:p>
        </w:tc>
        <w:tc>
          <w:tcPr>
            <w:tcW w:w="0" w:type="auto"/>
            <w:vMerge/>
            <w:vAlign w:val="center"/>
            <w:hideMark/>
          </w:tcPr>
          <w:p w:rsidR="009E6D90" w:rsidRDefault="009E6D90">
            <w:pPr>
              <w:rPr>
                <w:sz w:val="24"/>
                <w:szCs w:val="24"/>
              </w:rPr>
            </w:pPr>
          </w:p>
        </w:tc>
      </w:tr>
      <w:tr w:rsidR="009E6D90" w:rsidTr="009E6D90">
        <w:trPr>
          <w:tblCellSpacing w:w="0" w:type="dxa"/>
        </w:trPr>
        <w:tc>
          <w:tcPr>
            <w:tcW w:w="1695" w:type="dxa"/>
            <w:shd w:val="clear" w:color="auto" w:fill="EEEEEE"/>
            <w:hideMark/>
          </w:tcPr>
          <w:p w:rsidR="009E6D90" w:rsidRDefault="009E6D90">
            <w:pPr>
              <w:jc w:val="center"/>
              <w:rPr>
                <w:sz w:val="24"/>
                <w:szCs w:val="24"/>
              </w:rPr>
            </w:pPr>
            <w:r>
              <w:t>3.70</w:t>
            </w:r>
          </w:p>
        </w:tc>
        <w:tc>
          <w:tcPr>
            <w:tcW w:w="1695" w:type="dxa"/>
            <w:shd w:val="clear" w:color="auto" w:fill="EEEEEE"/>
            <w:hideMark/>
          </w:tcPr>
          <w:p w:rsidR="009E6D90" w:rsidRDefault="009E6D90">
            <w:pPr>
              <w:jc w:val="center"/>
              <w:rPr>
                <w:sz w:val="24"/>
                <w:szCs w:val="24"/>
              </w:rPr>
            </w:pPr>
            <w:proofErr w:type="spellStart"/>
            <w:r>
              <w:t>See</w:t>
            </w:r>
            <w:proofErr w:type="spellEnd"/>
            <w:r>
              <w:t xml:space="preserve"> </w:t>
            </w:r>
            <w:proofErr w:type="spellStart"/>
            <w:r>
              <w:t>note</w:t>
            </w:r>
            <w:proofErr w:type="spellEnd"/>
          </w:p>
        </w:tc>
        <w:tc>
          <w:tcPr>
            <w:tcW w:w="1695" w:type="dxa"/>
            <w:shd w:val="clear" w:color="auto" w:fill="EEEEEE"/>
            <w:hideMark/>
          </w:tcPr>
          <w:p w:rsidR="009E6D90" w:rsidRDefault="009E6D90">
            <w:pPr>
              <w:jc w:val="center"/>
              <w:rPr>
                <w:sz w:val="24"/>
                <w:szCs w:val="24"/>
              </w:rPr>
            </w:pPr>
            <w:r>
              <w:t xml:space="preserve">30% </w:t>
            </w:r>
            <w:proofErr w:type="spellStart"/>
            <w:r>
              <w:t>and</w:t>
            </w:r>
            <w:proofErr w:type="spellEnd"/>
            <w:r>
              <w:t xml:space="preserve"> </w:t>
            </w:r>
            <w:proofErr w:type="spellStart"/>
            <w:r>
              <w:t>less</w:t>
            </w:r>
            <w:proofErr w:type="spellEnd"/>
          </w:p>
        </w:tc>
        <w:tc>
          <w:tcPr>
            <w:tcW w:w="0" w:type="auto"/>
            <w:vMerge/>
            <w:vAlign w:val="center"/>
            <w:hideMark/>
          </w:tcPr>
          <w:p w:rsidR="009E6D90" w:rsidRDefault="009E6D90">
            <w:pPr>
              <w:rPr>
                <w:sz w:val="24"/>
                <w:szCs w:val="24"/>
              </w:rPr>
            </w:pPr>
          </w:p>
        </w:tc>
      </w:tr>
    </w:tbl>
    <w:p w:rsidR="009E6D90" w:rsidRPr="009E6D90" w:rsidRDefault="009E6D90" w:rsidP="009E6D90">
      <w:pPr>
        <w:pStyle w:val="a3"/>
        <w:rPr>
          <w:lang w:val="en-US"/>
        </w:rPr>
      </w:pPr>
      <w:r w:rsidRPr="009E6D90">
        <w:rPr>
          <w:lang w:val="en-US"/>
        </w:rPr>
        <w:br/>
        <w:t>Most chargers for mobile phones, laptops, tablets and digital cameras charge Li-ion to 4.20V/cell. This allows maximum capacity, because the consumer wants nothing less than optimal runtime. Industry, on the other hand, is more concerned about longevity and may choose lower voltage thresholds. Satellites and electric vehicles are such examples.</w:t>
      </w:r>
      <w:r w:rsidRPr="009E6D90">
        <w:rPr>
          <w:lang w:val="en-US"/>
        </w:rPr>
        <w:br/>
      </w:r>
      <w:r w:rsidRPr="009E6D90">
        <w:rPr>
          <w:lang w:val="en-US"/>
        </w:rPr>
        <w:br/>
        <w:t>For safety reasons, many lithium-ions cannot exceed 4.20V/cell. (Some NMC are the exception.) While a higher voltage boosts capacity, exceeding the voltage shortens service life and compromises safety. Figure 5 demonstrates cycle count as a function of charge voltage. At 4.35V, the cycle count of a regular Li-ion is cut in half.</w:t>
      </w:r>
      <w:r w:rsidRPr="009E6D90">
        <w:rPr>
          <w:lang w:val="en-US"/>
        </w:rPr>
        <w:br/>
        <w:t> </w:t>
      </w:r>
    </w:p>
    <w:tbl>
      <w:tblPr>
        <w:tblW w:w="8550" w:type="dxa"/>
        <w:tblCellSpacing w:w="0" w:type="dxa"/>
        <w:tblCellMar>
          <w:left w:w="0" w:type="dxa"/>
          <w:right w:w="0" w:type="dxa"/>
        </w:tblCellMar>
        <w:tblLook w:val="04A0"/>
      </w:tblPr>
      <w:tblGrid>
        <w:gridCol w:w="8550"/>
      </w:tblGrid>
      <w:tr w:rsidR="009E6D90" w:rsidTr="009E6D90">
        <w:trPr>
          <w:tblCellSpacing w:w="0" w:type="dxa"/>
        </w:trPr>
        <w:tc>
          <w:tcPr>
            <w:tcW w:w="6000" w:type="dxa"/>
            <w:vAlign w:val="center"/>
            <w:hideMark/>
          </w:tcPr>
          <w:p w:rsidR="009E6D90" w:rsidRDefault="009E6D90">
            <w:pPr>
              <w:pStyle w:val="a3"/>
            </w:pPr>
            <w:r>
              <w:rPr>
                <w:noProof/>
              </w:rPr>
              <w:lastRenderedPageBreak/>
              <w:drawing>
                <wp:inline distT="0" distB="0" distL="0" distR="0">
                  <wp:extent cx="4086225" cy="2752725"/>
                  <wp:effectExtent l="19050" t="0" r="9525" b="0"/>
                  <wp:docPr id="5" name="Рисунок 2" descr="Effects on cycle life at elevated charge vol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ffects on cycle life at elevated charge voltages"/>
                          <pic:cNvPicPr>
                            <a:picLocks noChangeAspect="1" noChangeArrowheads="1"/>
                          </pic:cNvPicPr>
                        </pic:nvPicPr>
                        <pic:blipFill>
                          <a:blip r:embed="rId6"/>
                          <a:srcRect/>
                          <a:stretch>
                            <a:fillRect/>
                          </a:stretch>
                        </pic:blipFill>
                        <pic:spPr bwMode="auto">
                          <a:xfrm>
                            <a:off x="0" y="0"/>
                            <a:ext cx="4086225" cy="2752725"/>
                          </a:xfrm>
                          <a:prstGeom prst="rect">
                            <a:avLst/>
                          </a:prstGeom>
                          <a:noFill/>
                          <a:ln w="9525">
                            <a:noFill/>
                            <a:miter lim="800000"/>
                            <a:headEnd/>
                            <a:tailEnd/>
                          </a:ln>
                        </pic:spPr>
                      </pic:pic>
                    </a:graphicData>
                  </a:graphic>
                </wp:inline>
              </w:drawing>
            </w:r>
          </w:p>
        </w:tc>
      </w:tr>
      <w:tr w:rsidR="009E6D90" w:rsidTr="009E6D90">
        <w:trPr>
          <w:tblCellSpacing w:w="0" w:type="dxa"/>
        </w:trPr>
        <w:tc>
          <w:tcPr>
            <w:tcW w:w="6000" w:type="dxa"/>
            <w:vAlign w:val="center"/>
            <w:hideMark/>
          </w:tcPr>
          <w:p w:rsidR="009E6D90" w:rsidRPr="009E6D90" w:rsidRDefault="009E6D90">
            <w:pPr>
              <w:pStyle w:val="a3"/>
              <w:rPr>
                <w:lang w:val="en-US"/>
              </w:rPr>
            </w:pPr>
            <w:r w:rsidRPr="009E6D90">
              <w:rPr>
                <w:rStyle w:val="a4"/>
                <w:lang w:val="en-US"/>
              </w:rPr>
              <w:t>Figure 5: Effects on cycle life at elevated charge voltages. </w:t>
            </w:r>
            <w:proofErr w:type="gramStart"/>
            <w:r w:rsidRPr="009E6D90">
              <w:rPr>
                <w:lang w:val="en-US"/>
              </w:rPr>
              <w:t>Higher charge voltages boost capacity but lowers</w:t>
            </w:r>
            <w:proofErr w:type="gramEnd"/>
            <w:r w:rsidRPr="009E6D90">
              <w:rPr>
                <w:lang w:val="en-US"/>
              </w:rPr>
              <w:t xml:space="preserve"> cycle life and compromises safety.</w:t>
            </w:r>
          </w:p>
          <w:p w:rsidR="009E6D90" w:rsidRDefault="009E6D90">
            <w:pPr>
              <w:pStyle w:val="a3"/>
            </w:pPr>
            <w:proofErr w:type="spellStart"/>
            <w:r>
              <w:rPr>
                <w:vertAlign w:val="superscript"/>
              </w:rPr>
              <w:t>Source</w:t>
            </w:r>
            <w:proofErr w:type="spellEnd"/>
            <w:r>
              <w:rPr>
                <w:vertAlign w:val="superscript"/>
              </w:rPr>
              <w:t xml:space="preserve">: </w:t>
            </w:r>
            <w:proofErr w:type="spellStart"/>
            <w:r>
              <w:rPr>
                <w:vertAlign w:val="superscript"/>
              </w:rPr>
              <w:t>Choi</w:t>
            </w:r>
            <w:proofErr w:type="spellEnd"/>
            <w:r>
              <w:rPr>
                <w:vertAlign w:val="superscript"/>
              </w:rPr>
              <w:t xml:space="preserve"> </w:t>
            </w:r>
            <w:proofErr w:type="spellStart"/>
            <w:r>
              <w:rPr>
                <w:vertAlign w:val="superscript"/>
              </w:rPr>
              <w:t>et</w:t>
            </w:r>
            <w:proofErr w:type="spellEnd"/>
            <w:r>
              <w:rPr>
                <w:vertAlign w:val="superscript"/>
              </w:rPr>
              <w:t xml:space="preserve"> </w:t>
            </w:r>
            <w:proofErr w:type="spellStart"/>
            <w:r>
              <w:rPr>
                <w:vertAlign w:val="superscript"/>
              </w:rPr>
              <w:t>al</w:t>
            </w:r>
            <w:proofErr w:type="spellEnd"/>
            <w:r>
              <w:rPr>
                <w:vertAlign w:val="superscript"/>
              </w:rPr>
              <w:t>. (2002)</w:t>
            </w:r>
          </w:p>
        </w:tc>
      </w:tr>
    </w:tbl>
    <w:p w:rsidR="009E6D90" w:rsidRPr="009E6D90" w:rsidRDefault="009E6D90" w:rsidP="009E6D90">
      <w:pPr>
        <w:pStyle w:val="a3"/>
        <w:rPr>
          <w:lang w:val="en-US"/>
        </w:rPr>
      </w:pPr>
      <w:r w:rsidRPr="009E6D90">
        <w:rPr>
          <w:lang w:val="en-US"/>
        </w:rPr>
        <w:br/>
        <w:t>Besides selecting the best-suited voltage thresholds for a given application, a regular Li-ion should not remain at the high-voltage ceiling of 4.20V/cell for an extended time. The Li-ion charger turns off the charge current and the battery voltage reverts to a more natural level. This is like relaxing the muscles after a strenuous exercise.</w:t>
      </w:r>
    </w:p>
    <w:p w:rsidR="009E6D90" w:rsidRDefault="009E6D90" w:rsidP="009E6D90">
      <w:pPr>
        <w:pStyle w:val="a3"/>
      </w:pPr>
      <w:r w:rsidRPr="009E6D90">
        <w:rPr>
          <w:lang w:val="en-US"/>
        </w:rPr>
        <w:t xml:space="preserve">Figure 6 illustrates dynamic stress tests (DST) reflecting capacity loss when cycling Li-ion at various charge and discharge bandwidths. The largest capacity loss occurs when discharging a fully charged Li-ion to 25 percent </w:t>
      </w:r>
      <w:proofErr w:type="spellStart"/>
      <w:r w:rsidRPr="009E6D90">
        <w:rPr>
          <w:lang w:val="en-US"/>
        </w:rPr>
        <w:t>SoC</w:t>
      </w:r>
      <w:proofErr w:type="spellEnd"/>
      <w:r w:rsidRPr="009E6D90">
        <w:rPr>
          <w:lang w:val="en-US"/>
        </w:rPr>
        <w:t xml:space="preserve"> (black); the loss would be higher if fully discharged. Cycling between 85 and 25 percent (green) provides a longer service life than charging to 100 percent and discharging to 50 percent (dark blue). The smallest capacity loss is attained by charging Li-ion to 75 percent and discharging to 65 percent. This, however, does not fully utilize the battery. High voltages and exposure to elevated temperature is said to degrade the battery quicker than cycling under normal condition. (</w:t>
      </w:r>
      <w:hyperlink r:id="rId10" w:history="1">
        <w:r w:rsidRPr="009E6D90">
          <w:rPr>
            <w:lang w:val="en-US"/>
          </w:rPr>
          <w:t>Nissan Leaf case</w:t>
        </w:r>
      </w:hyperlink>
      <w:r w:rsidRPr="009E6D90">
        <w:rPr>
          <w:lang w:val="en-US"/>
        </w:rPr>
        <w:t>)</w:t>
      </w:r>
      <w:r w:rsidRPr="009E6D90">
        <w:rPr>
          <w:lang w:val="en-US"/>
        </w:rPr>
        <w:br/>
      </w:r>
      <w:r>
        <w:t> </w:t>
      </w:r>
    </w:p>
    <w:tbl>
      <w:tblPr>
        <w:tblW w:w="8550" w:type="dxa"/>
        <w:tblCellSpacing w:w="0" w:type="dxa"/>
        <w:tblCellMar>
          <w:left w:w="0" w:type="dxa"/>
          <w:right w:w="0" w:type="dxa"/>
        </w:tblCellMar>
        <w:tblLook w:val="04A0"/>
      </w:tblPr>
      <w:tblGrid>
        <w:gridCol w:w="8580"/>
      </w:tblGrid>
      <w:tr w:rsidR="009E6D90" w:rsidTr="009E6D90">
        <w:trPr>
          <w:tblCellSpacing w:w="0" w:type="dxa"/>
        </w:trPr>
        <w:tc>
          <w:tcPr>
            <w:tcW w:w="6300" w:type="dxa"/>
            <w:vAlign w:val="center"/>
            <w:hideMark/>
          </w:tcPr>
          <w:p w:rsidR="009E6D90" w:rsidRDefault="009E6D90">
            <w:pPr>
              <w:rPr>
                <w:sz w:val="24"/>
                <w:szCs w:val="24"/>
              </w:rPr>
            </w:pPr>
            <w:r>
              <w:rPr>
                <w:noProof/>
                <w:lang w:val="ru-RU" w:eastAsia="ru-RU"/>
              </w:rPr>
              <w:lastRenderedPageBreak/>
              <w:drawing>
                <wp:inline distT="0" distB="0" distL="0" distR="0">
                  <wp:extent cx="5429250" cy="4343400"/>
                  <wp:effectExtent l="19050" t="0" r="0" b="0"/>
                  <wp:docPr id="4" name="Рисунок 3" descr="D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T"/>
                          <pic:cNvPicPr>
                            <a:picLocks noChangeAspect="1" noChangeArrowheads="1"/>
                          </pic:cNvPicPr>
                        </pic:nvPicPr>
                        <pic:blipFill>
                          <a:blip r:embed="rId7"/>
                          <a:srcRect/>
                          <a:stretch>
                            <a:fillRect/>
                          </a:stretch>
                        </pic:blipFill>
                        <pic:spPr bwMode="auto">
                          <a:xfrm>
                            <a:off x="0" y="0"/>
                            <a:ext cx="5429250" cy="4343400"/>
                          </a:xfrm>
                          <a:prstGeom prst="rect">
                            <a:avLst/>
                          </a:prstGeom>
                          <a:noFill/>
                          <a:ln w="9525">
                            <a:noFill/>
                            <a:miter lim="800000"/>
                            <a:headEnd/>
                            <a:tailEnd/>
                          </a:ln>
                        </pic:spPr>
                      </pic:pic>
                    </a:graphicData>
                  </a:graphic>
                </wp:inline>
              </w:drawing>
            </w:r>
          </w:p>
        </w:tc>
      </w:tr>
      <w:tr w:rsidR="009E6D90" w:rsidTr="009E6D90">
        <w:trPr>
          <w:tblCellSpacing w:w="0" w:type="dxa"/>
        </w:trPr>
        <w:tc>
          <w:tcPr>
            <w:tcW w:w="6300" w:type="dxa"/>
            <w:vAlign w:val="center"/>
            <w:hideMark/>
          </w:tcPr>
          <w:p w:rsidR="009E6D90" w:rsidRDefault="009E6D90">
            <w:pPr>
              <w:rPr>
                <w:sz w:val="24"/>
                <w:szCs w:val="24"/>
              </w:rPr>
            </w:pPr>
            <w:proofErr w:type="spellStart"/>
            <w:r>
              <w:rPr>
                <w:rStyle w:val="a4"/>
              </w:rPr>
              <w:t>Figure</w:t>
            </w:r>
            <w:proofErr w:type="spellEnd"/>
            <w:r>
              <w:rPr>
                <w:rStyle w:val="a4"/>
              </w:rPr>
              <w:t xml:space="preserve"> 6: </w:t>
            </w:r>
            <w:proofErr w:type="spellStart"/>
            <w:r>
              <w:rPr>
                <w:rStyle w:val="a4"/>
              </w:rPr>
              <w:t>Capacity</w:t>
            </w:r>
            <w:proofErr w:type="spellEnd"/>
            <w:r>
              <w:rPr>
                <w:rStyle w:val="a4"/>
              </w:rPr>
              <w:t xml:space="preserve"> </w:t>
            </w:r>
            <w:proofErr w:type="spellStart"/>
            <w:r>
              <w:rPr>
                <w:rStyle w:val="a4"/>
              </w:rPr>
              <w:t>loss</w:t>
            </w:r>
            <w:proofErr w:type="spellEnd"/>
            <w:r>
              <w:rPr>
                <w:rStyle w:val="a4"/>
              </w:rPr>
              <w:t xml:space="preserve"> </w:t>
            </w:r>
            <w:proofErr w:type="spellStart"/>
            <w:r>
              <w:rPr>
                <w:rStyle w:val="a4"/>
              </w:rPr>
              <w:t>when</w:t>
            </w:r>
            <w:proofErr w:type="spellEnd"/>
            <w:r>
              <w:rPr>
                <w:rStyle w:val="a4"/>
              </w:rPr>
              <w:t xml:space="preserve"> </w:t>
            </w:r>
            <w:proofErr w:type="spellStart"/>
            <w:r>
              <w:rPr>
                <w:rStyle w:val="a4"/>
              </w:rPr>
              <w:t>operating</w:t>
            </w:r>
            <w:proofErr w:type="spellEnd"/>
            <w:r>
              <w:rPr>
                <w:rStyle w:val="a4"/>
              </w:rPr>
              <w:t xml:space="preserve"> Li-</w:t>
            </w:r>
            <w:proofErr w:type="spellStart"/>
            <w:r>
              <w:rPr>
                <w:rStyle w:val="a4"/>
              </w:rPr>
              <w:t>ion</w:t>
            </w:r>
            <w:proofErr w:type="spellEnd"/>
            <w:r>
              <w:rPr>
                <w:rStyle w:val="a4"/>
              </w:rPr>
              <w:t xml:space="preserve"> </w:t>
            </w:r>
            <w:proofErr w:type="spellStart"/>
            <w:r>
              <w:rPr>
                <w:rStyle w:val="a4"/>
              </w:rPr>
              <w:t>within</w:t>
            </w:r>
            <w:proofErr w:type="spellEnd"/>
            <w:r>
              <w:rPr>
                <w:rStyle w:val="a4"/>
              </w:rPr>
              <w:t xml:space="preserve"> </w:t>
            </w:r>
            <w:proofErr w:type="spellStart"/>
            <w:r>
              <w:rPr>
                <w:rStyle w:val="a4"/>
              </w:rPr>
              <w:t>given</w:t>
            </w:r>
            <w:proofErr w:type="spellEnd"/>
            <w:r>
              <w:rPr>
                <w:rStyle w:val="a4"/>
              </w:rPr>
              <w:t xml:space="preserve"> </w:t>
            </w:r>
            <w:proofErr w:type="spellStart"/>
            <w:r>
              <w:rPr>
                <w:rStyle w:val="a4"/>
              </w:rPr>
              <w:t>charge</w:t>
            </w:r>
            <w:proofErr w:type="spellEnd"/>
            <w:r>
              <w:rPr>
                <w:rStyle w:val="a4"/>
              </w:rPr>
              <w:t xml:space="preserve"> </w:t>
            </w:r>
            <w:proofErr w:type="spellStart"/>
            <w:r>
              <w:rPr>
                <w:rStyle w:val="a4"/>
              </w:rPr>
              <w:t>and</w:t>
            </w:r>
            <w:proofErr w:type="spellEnd"/>
            <w:r>
              <w:rPr>
                <w:rStyle w:val="a4"/>
              </w:rPr>
              <w:t xml:space="preserve"> </w:t>
            </w:r>
            <w:proofErr w:type="spellStart"/>
            <w:r>
              <w:rPr>
                <w:rStyle w:val="a4"/>
              </w:rPr>
              <w:t>discharge</w:t>
            </w:r>
            <w:proofErr w:type="spellEnd"/>
            <w:r>
              <w:rPr>
                <w:rStyle w:val="a4"/>
              </w:rPr>
              <w:t xml:space="preserve"> </w:t>
            </w:r>
            <w:proofErr w:type="spellStart"/>
            <w:r>
              <w:rPr>
                <w:rStyle w:val="a4"/>
              </w:rPr>
              <w:t>bandwidths</w:t>
            </w:r>
            <w:proofErr w:type="spellEnd"/>
            <w:r>
              <w:rPr>
                <w:rStyle w:val="a4"/>
              </w:rPr>
              <w:t>.</w:t>
            </w:r>
            <w:r>
              <w:br/>
            </w:r>
            <w:proofErr w:type="spellStart"/>
            <w:r>
              <w:t>Batteries</w:t>
            </w:r>
            <w:proofErr w:type="spellEnd"/>
            <w:r>
              <w:t xml:space="preserve"> </w:t>
            </w:r>
            <w:proofErr w:type="spellStart"/>
            <w:r>
              <w:t>charging</w:t>
            </w:r>
            <w:proofErr w:type="spellEnd"/>
            <w:r>
              <w:t xml:space="preserve"> </w:t>
            </w:r>
            <w:proofErr w:type="spellStart"/>
            <w:r>
              <w:t>to</w:t>
            </w:r>
            <w:proofErr w:type="spellEnd"/>
            <w:r>
              <w:t xml:space="preserve"> 85% </w:t>
            </w:r>
            <w:proofErr w:type="spellStart"/>
            <w:r>
              <w:t>have</w:t>
            </w:r>
            <w:proofErr w:type="spellEnd"/>
            <w:r>
              <w:t xml:space="preserve"> a </w:t>
            </w:r>
            <w:proofErr w:type="spellStart"/>
            <w:r>
              <w:t>longer</w:t>
            </w:r>
            <w:proofErr w:type="spellEnd"/>
            <w:r>
              <w:t xml:space="preserve"> </w:t>
            </w:r>
            <w:proofErr w:type="spellStart"/>
            <w:r>
              <w:t>life</w:t>
            </w:r>
            <w:proofErr w:type="spellEnd"/>
            <w:r>
              <w:t xml:space="preserve"> </w:t>
            </w:r>
            <w:proofErr w:type="spellStart"/>
            <w:r>
              <w:t>span</w:t>
            </w:r>
            <w:proofErr w:type="spellEnd"/>
            <w:r>
              <w:t xml:space="preserve"> </w:t>
            </w:r>
            <w:proofErr w:type="spellStart"/>
            <w:r>
              <w:t>than</w:t>
            </w:r>
            <w:proofErr w:type="spellEnd"/>
            <w:r>
              <w:t xml:space="preserve"> </w:t>
            </w:r>
            <w:proofErr w:type="spellStart"/>
            <w:r>
              <w:t>enabling</w:t>
            </w:r>
            <w:proofErr w:type="spellEnd"/>
            <w:r>
              <w:t xml:space="preserve"> </w:t>
            </w:r>
            <w:proofErr w:type="spellStart"/>
            <w:r>
              <w:t>full</w:t>
            </w:r>
            <w:proofErr w:type="spellEnd"/>
            <w:r>
              <w:t xml:space="preserve"> </w:t>
            </w:r>
            <w:proofErr w:type="spellStart"/>
            <w:r>
              <w:t>charge</w:t>
            </w:r>
            <w:proofErr w:type="spellEnd"/>
            <w:r>
              <w:t xml:space="preserve">. </w:t>
            </w:r>
            <w:proofErr w:type="spellStart"/>
            <w:r>
              <w:t>Although</w:t>
            </w:r>
            <w:proofErr w:type="spellEnd"/>
            <w:r>
              <w:t xml:space="preserve"> </w:t>
            </w:r>
            <w:proofErr w:type="spellStart"/>
            <w:r>
              <w:t>longer</w:t>
            </w:r>
            <w:proofErr w:type="spellEnd"/>
            <w:r>
              <w:t xml:space="preserve"> </w:t>
            </w:r>
            <w:proofErr w:type="spellStart"/>
            <w:r>
              <w:t>lasting</w:t>
            </w:r>
            <w:proofErr w:type="spellEnd"/>
            <w:r>
              <w:t xml:space="preserve">, a </w:t>
            </w:r>
            <w:proofErr w:type="spellStart"/>
            <w:r>
              <w:t>less</w:t>
            </w:r>
            <w:proofErr w:type="spellEnd"/>
            <w:r>
              <w:t xml:space="preserve"> </w:t>
            </w:r>
            <w:proofErr w:type="spellStart"/>
            <w:r>
              <w:t>than</w:t>
            </w:r>
            <w:proofErr w:type="spellEnd"/>
            <w:r>
              <w:t xml:space="preserve"> </w:t>
            </w:r>
            <w:proofErr w:type="spellStart"/>
            <w:r>
              <w:t>full</w:t>
            </w:r>
            <w:proofErr w:type="spellEnd"/>
            <w:r>
              <w:t xml:space="preserve"> </w:t>
            </w:r>
            <w:proofErr w:type="spellStart"/>
            <w:r>
              <w:t>cycle</w:t>
            </w:r>
            <w:proofErr w:type="spellEnd"/>
            <w:r>
              <w:t xml:space="preserve"> </w:t>
            </w:r>
            <w:proofErr w:type="spellStart"/>
            <w:r>
              <w:t>does</w:t>
            </w:r>
            <w:proofErr w:type="spellEnd"/>
            <w:r>
              <w:t xml:space="preserve"> </w:t>
            </w:r>
            <w:proofErr w:type="spellStart"/>
            <w:r>
              <w:t>not</w:t>
            </w:r>
            <w:proofErr w:type="spellEnd"/>
            <w:r>
              <w:t xml:space="preserve"> </w:t>
            </w:r>
            <w:proofErr w:type="spellStart"/>
            <w:r>
              <w:t>fully</w:t>
            </w:r>
            <w:proofErr w:type="spellEnd"/>
            <w:r>
              <w:t xml:space="preserve"> </w:t>
            </w:r>
            <w:proofErr w:type="spellStart"/>
            <w:r>
              <w:t>utilize</w:t>
            </w:r>
            <w:proofErr w:type="spellEnd"/>
            <w:r>
              <w:t xml:space="preserve"> a </w:t>
            </w:r>
            <w:proofErr w:type="spellStart"/>
            <w:r>
              <w:t>battery</w:t>
            </w:r>
            <w:proofErr w:type="spellEnd"/>
            <w:r>
              <w:t>.</w:t>
            </w:r>
            <w:r>
              <w:br/>
            </w:r>
            <w:r>
              <w:br/>
              <w:t xml:space="preserve">• 75–65% </w:t>
            </w:r>
            <w:proofErr w:type="spellStart"/>
            <w:r>
              <w:t>SoC</w:t>
            </w:r>
            <w:proofErr w:type="spellEnd"/>
            <w:r>
              <w:t xml:space="preserve"> </w:t>
            </w:r>
            <w:proofErr w:type="spellStart"/>
            <w:r>
              <w:t>offers</w:t>
            </w:r>
            <w:proofErr w:type="spellEnd"/>
            <w:r>
              <w:t xml:space="preserve">   </w:t>
            </w:r>
            <w:proofErr w:type="spellStart"/>
            <w:r>
              <w:t>longest</w:t>
            </w:r>
            <w:proofErr w:type="spellEnd"/>
            <w:r>
              <w:t xml:space="preserve"> </w:t>
            </w:r>
            <w:proofErr w:type="spellStart"/>
            <w:r>
              <w:t>cycle</w:t>
            </w:r>
            <w:proofErr w:type="spellEnd"/>
            <w:r>
              <w:t xml:space="preserve"> </w:t>
            </w:r>
            <w:proofErr w:type="spellStart"/>
            <w:r>
              <w:t>life</w:t>
            </w:r>
            <w:proofErr w:type="spellEnd"/>
            <w:r>
              <w:br/>
              <w:t xml:space="preserve">• </w:t>
            </w:r>
            <w:proofErr w:type="spellStart"/>
            <w:r>
              <w:t>EVs</w:t>
            </w:r>
            <w:proofErr w:type="spellEnd"/>
            <w:r>
              <w:t xml:space="preserve"> </w:t>
            </w:r>
            <w:proofErr w:type="spellStart"/>
            <w:r>
              <w:t>use</w:t>
            </w:r>
            <w:proofErr w:type="spellEnd"/>
            <w:r>
              <w:t xml:space="preserve"> 85–25% </w:t>
            </w:r>
            <w:proofErr w:type="spellStart"/>
            <w:r>
              <w:t>SoC</w:t>
            </w:r>
            <w:proofErr w:type="spellEnd"/>
            <w:r>
              <w:t xml:space="preserve"> </w:t>
            </w:r>
            <w:proofErr w:type="spellStart"/>
            <w:r>
              <w:t>to</w:t>
            </w:r>
            <w:proofErr w:type="spellEnd"/>
            <w:r>
              <w:t xml:space="preserve"> </w:t>
            </w:r>
            <w:proofErr w:type="spellStart"/>
            <w:r>
              <w:t>prolong</w:t>
            </w:r>
            <w:proofErr w:type="spellEnd"/>
            <w:r>
              <w:t xml:space="preserve"> </w:t>
            </w:r>
            <w:proofErr w:type="spellStart"/>
            <w:r>
              <w:t>battery</w:t>
            </w:r>
            <w:proofErr w:type="spellEnd"/>
            <w:r>
              <w:t xml:space="preserve"> </w:t>
            </w:r>
            <w:proofErr w:type="spellStart"/>
            <w:r>
              <w:t>life</w:t>
            </w:r>
            <w:proofErr w:type="spellEnd"/>
            <w:r>
              <w:br/>
              <w:t xml:space="preserve">• 100–25% </w:t>
            </w:r>
            <w:proofErr w:type="spellStart"/>
            <w:r>
              <w:t>SoC</w:t>
            </w:r>
            <w:proofErr w:type="spellEnd"/>
            <w:r>
              <w:t xml:space="preserve"> </w:t>
            </w:r>
            <w:proofErr w:type="spellStart"/>
            <w:r>
              <w:t>gives</w:t>
            </w:r>
            <w:proofErr w:type="spellEnd"/>
            <w:r>
              <w:t xml:space="preserve"> </w:t>
            </w:r>
            <w:proofErr w:type="spellStart"/>
            <w:r>
              <w:t>long</w:t>
            </w:r>
            <w:proofErr w:type="spellEnd"/>
            <w:r>
              <w:t xml:space="preserve"> </w:t>
            </w:r>
            <w:proofErr w:type="spellStart"/>
            <w:r>
              <w:t>runtime</w:t>
            </w:r>
            <w:proofErr w:type="spellEnd"/>
            <w:r>
              <w:t xml:space="preserve">, </w:t>
            </w:r>
            <w:proofErr w:type="spellStart"/>
            <w:r>
              <w:t>makes</w:t>
            </w:r>
            <w:proofErr w:type="spellEnd"/>
            <w:r>
              <w:t xml:space="preserve"> </w:t>
            </w:r>
            <w:proofErr w:type="spellStart"/>
            <w:r>
              <w:t>best</w:t>
            </w:r>
            <w:proofErr w:type="spellEnd"/>
            <w:r>
              <w:t xml:space="preserve"> </w:t>
            </w:r>
            <w:proofErr w:type="spellStart"/>
            <w:r>
              <w:t>use</w:t>
            </w:r>
            <w:proofErr w:type="spellEnd"/>
            <w:r>
              <w:t xml:space="preserve"> </w:t>
            </w:r>
            <w:proofErr w:type="spellStart"/>
            <w:r>
              <w:t>of</w:t>
            </w:r>
            <w:proofErr w:type="spellEnd"/>
            <w:r>
              <w:t xml:space="preserve"> </w:t>
            </w:r>
            <w:proofErr w:type="spellStart"/>
            <w:r>
              <w:t>battery</w:t>
            </w:r>
            <w:proofErr w:type="spellEnd"/>
            <w:r>
              <w:t xml:space="preserve">, </w:t>
            </w:r>
            <w:proofErr w:type="spellStart"/>
            <w:r>
              <w:t>but</w:t>
            </w:r>
            <w:proofErr w:type="spellEnd"/>
            <w:r>
              <w:t xml:space="preserve"> </w:t>
            </w:r>
            <w:proofErr w:type="spellStart"/>
            <w:r>
              <w:t>reduces</w:t>
            </w:r>
            <w:proofErr w:type="spellEnd"/>
            <w:r>
              <w:t xml:space="preserve"> </w:t>
            </w:r>
            <w:proofErr w:type="spellStart"/>
            <w:r>
              <w:t>battery</w:t>
            </w:r>
            <w:proofErr w:type="spellEnd"/>
            <w:r>
              <w:t xml:space="preserve"> </w:t>
            </w:r>
            <w:proofErr w:type="spellStart"/>
            <w:r>
              <w:t>life</w:t>
            </w:r>
            <w:proofErr w:type="spellEnd"/>
            <w:r>
              <w:t>.</w:t>
            </w:r>
          </w:p>
        </w:tc>
      </w:tr>
    </w:tbl>
    <w:p w:rsidR="009E6D90" w:rsidRPr="009E6D90" w:rsidRDefault="009E6D90" w:rsidP="009E6D90">
      <w:pPr>
        <w:pStyle w:val="a3"/>
        <w:rPr>
          <w:lang w:val="en-US"/>
        </w:rPr>
      </w:pPr>
      <w:r w:rsidRPr="009E6D90">
        <w:rPr>
          <w:lang w:val="en-US"/>
        </w:rPr>
        <w:t xml:space="preserve">Only a full cycle provides the specified energy of a battery. With a modern </w:t>
      </w:r>
      <w:hyperlink r:id="rId11" w:history="1">
        <w:r w:rsidRPr="009E6D90">
          <w:rPr>
            <w:lang w:val="en-US"/>
          </w:rPr>
          <w:t>Energy Cell</w:t>
        </w:r>
      </w:hyperlink>
      <w:r w:rsidRPr="009E6D90">
        <w:rPr>
          <w:lang w:val="en-US"/>
        </w:rPr>
        <w:t>, this is 250Wh/kg, but the cycle life will be compromised. All being linear, the life-prolonging mid-range of 85-25 percent reduces the energy to 60 percent and this equates to moderating the specific energy density from 250Wh/kg to 150Wh/kg.</w:t>
      </w:r>
    </w:p>
    <w:p w:rsidR="009E6D90" w:rsidRPr="009E6D90" w:rsidRDefault="009E6D90" w:rsidP="009E6D90">
      <w:pPr>
        <w:pStyle w:val="a3"/>
        <w:rPr>
          <w:lang w:val="en-US"/>
        </w:rPr>
      </w:pPr>
      <w:r w:rsidRPr="009E6D90">
        <w:rPr>
          <w:lang w:val="en-US"/>
        </w:rPr>
        <w:t xml:space="preserve">Battery manufacturers often specify the cycle life of a battery with an 80 </w:t>
      </w:r>
      <w:proofErr w:type="spellStart"/>
      <w:proofErr w:type="gramStart"/>
      <w:r w:rsidRPr="009E6D90">
        <w:rPr>
          <w:lang w:val="en-US"/>
        </w:rPr>
        <w:t>DoD</w:t>
      </w:r>
      <w:proofErr w:type="spellEnd"/>
      <w:proofErr w:type="gramEnd"/>
      <w:r w:rsidRPr="009E6D90">
        <w:rPr>
          <w:lang w:val="en-US"/>
        </w:rPr>
        <w:t>. This is practical because batteries should retain some reserve before charge under normal use. The cycle count on DST (dynamic stress test) differs with battery type, charge time, loading protocol and operating temperature. Lab tests often get numbers that are not attainable in the field. </w:t>
      </w:r>
    </w:p>
    <w:p w:rsidR="009E6D90" w:rsidRPr="009E6D90" w:rsidRDefault="009E6D90" w:rsidP="009E6D90">
      <w:pPr>
        <w:pStyle w:val="a3"/>
        <w:rPr>
          <w:lang w:val="en-US"/>
        </w:rPr>
      </w:pPr>
      <w:r w:rsidRPr="009E6D90">
        <w:rPr>
          <w:lang w:val="en-US"/>
        </w:rPr>
        <w:t> </w:t>
      </w:r>
    </w:p>
    <w:p w:rsidR="009E6D90" w:rsidRPr="009E6D90" w:rsidRDefault="009E6D90" w:rsidP="009E6D90">
      <w:pPr>
        <w:pStyle w:val="2"/>
        <w:rPr>
          <w:lang w:val="en-US"/>
        </w:rPr>
      </w:pPr>
      <w:r w:rsidRPr="009E6D90">
        <w:rPr>
          <w:lang w:val="en-US"/>
        </w:rPr>
        <w:t>What Can the User Do?</w:t>
      </w:r>
    </w:p>
    <w:p w:rsidR="009E6D90" w:rsidRDefault="009E6D90" w:rsidP="009E6D90">
      <w:pPr>
        <w:pStyle w:val="a3"/>
      </w:pPr>
      <w:r w:rsidRPr="009E6D90">
        <w:rPr>
          <w:lang w:val="en-US"/>
        </w:rPr>
        <w:t>Environmental conditions, not cycling alone, govern the longevity of lithium-ion batteries. The worst situation is keeping a fully charged battery at elevated temperatures. Battery packs do not die suddenly, but the runtime gradually shortens as the capacity fades.</w:t>
      </w:r>
      <w:r w:rsidRPr="009E6D90">
        <w:rPr>
          <w:lang w:val="en-US"/>
        </w:rPr>
        <w:br/>
      </w:r>
      <w:r w:rsidRPr="009E6D90">
        <w:rPr>
          <w:lang w:val="en-US"/>
        </w:rPr>
        <w:br/>
        <w:t>Lower charge voltages prolong battery life and electric vehicles and satellites take advantage of this. Similar provisions could also be made for consumer devices, but these are seldom offered; planned obsolescence takes care of this.</w:t>
      </w:r>
      <w:r w:rsidRPr="009E6D90">
        <w:rPr>
          <w:lang w:val="en-US"/>
        </w:rPr>
        <w:br/>
      </w:r>
      <w:r w:rsidRPr="009E6D90">
        <w:rPr>
          <w:lang w:val="en-US"/>
        </w:rPr>
        <w:br/>
        <w:t xml:space="preserve">A laptop battery could be prolonged by lowering the charge voltage when connected to the AC grid. To make this feature user-friendly, a device should feature a “Long Life” mode that keeps the battery at 4.05V/cell and offers a </w:t>
      </w:r>
      <w:proofErr w:type="spellStart"/>
      <w:r w:rsidRPr="009E6D90">
        <w:rPr>
          <w:lang w:val="en-US"/>
        </w:rPr>
        <w:t>SoC</w:t>
      </w:r>
      <w:proofErr w:type="spellEnd"/>
      <w:r w:rsidRPr="009E6D90">
        <w:rPr>
          <w:lang w:val="en-US"/>
        </w:rPr>
        <w:t xml:space="preserve"> of about 80 percent. One hour before traveling, the user requests the “Full Capacity” mode to bring the charge to 4.20V/cell.</w:t>
      </w:r>
      <w:r w:rsidRPr="009E6D90">
        <w:rPr>
          <w:lang w:val="en-US"/>
        </w:rPr>
        <w:br/>
      </w:r>
      <w:r w:rsidRPr="009E6D90">
        <w:rPr>
          <w:lang w:val="en-US"/>
        </w:rPr>
        <w:lastRenderedPageBreak/>
        <w:br/>
        <w:t>The question is asked, “Should I disconnect my laptop from the power grid when not in use?” Under normal circumstances this should not be necessary because charging stops when the Li-ion battery is full. A topping charge is only applied when the battery voltage drops to a certain level. Most users do not remove the AC power, and this practice is safe.</w:t>
      </w:r>
      <w:r w:rsidRPr="009E6D90">
        <w:rPr>
          <w:lang w:val="en-US"/>
        </w:rPr>
        <w:br/>
      </w:r>
      <w:r w:rsidRPr="009E6D90">
        <w:rPr>
          <w:lang w:val="en-US"/>
        </w:rPr>
        <w:br/>
        <w:t xml:space="preserve">Modern laptops run cooler than older models and reported fires are fewer. Always </w:t>
      </w:r>
      <w:proofErr w:type="gramStart"/>
      <w:r w:rsidRPr="009E6D90">
        <w:rPr>
          <w:lang w:val="en-US"/>
        </w:rPr>
        <w:t>keep</w:t>
      </w:r>
      <w:proofErr w:type="gramEnd"/>
      <w:r w:rsidRPr="009E6D90">
        <w:rPr>
          <w:lang w:val="en-US"/>
        </w:rPr>
        <w:t xml:space="preserve"> the airflow unobstructed when running electric devices with air-cooling on a bed or pillow. A cool laptop extends battery life and safeguards the internal components. Energy Cells, which most consumer products have, should be charged at 1C or less. Avoid so-called </w:t>
      </w:r>
      <w:hyperlink r:id="rId12" w:history="1">
        <w:r w:rsidRPr="009E6D90">
          <w:rPr>
            <w:lang w:val="en-US"/>
          </w:rPr>
          <w:t>ultra-fast chargers</w:t>
        </w:r>
      </w:hyperlink>
      <w:r w:rsidRPr="009E6D90">
        <w:rPr>
          <w:lang w:val="en-US"/>
        </w:rPr>
        <w:t xml:space="preserve"> that claim to fully charge Li-ion in less than one hour.</w:t>
      </w:r>
      <w:r w:rsidRPr="009E6D90">
        <w:rPr>
          <w:lang w:val="en-US"/>
        </w:rPr>
        <w:br/>
      </w:r>
      <w:r w:rsidRPr="009E6D90">
        <w:rPr>
          <w:lang w:val="en-US"/>
        </w:rPr>
        <w:br/>
      </w:r>
      <w:proofErr w:type="spellStart"/>
      <w:r>
        <w:t>Last</w:t>
      </w:r>
      <w:proofErr w:type="spellEnd"/>
      <w:r>
        <w:t xml:space="preserve"> </w:t>
      </w:r>
      <w:proofErr w:type="spellStart"/>
      <w:r>
        <w:t>updated</w:t>
      </w:r>
      <w:proofErr w:type="spellEnd"/>
      <w:r>
        <w:t xml:space="preserve"> 2017-06-15</w:t>
      </w:r>
    </w:p>
    <w:p w:rsidR="00674831" w:rsidRDefault="00595803"/>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38355C"/>
    <w:rsid w:val="00105458"/>
    <w:rsid w:val="001A6DBB"/>
    <w:rsid w:val="00200C7C"/>
    <w:rsid w:val="002731F2"/>
    <w:rsid w:val="0038355C"/>
    <w:rsid w:val="00595803"/>
    <w:rsid w:val="00677A9D"/>
    <w:rsid w:val="007306EC"/>
    <w:rsid w:val="008C56BE"/>
    <w:rsid w:val="008E4537"/>
    <w:rsid w:val="009E6D90"/>
    <w:rsid w:val="00AE37E2"/>
    <w:rsid w:val="00B147DC"/>
    <w:rsid w:val="00B150B6"/>
    <w:rsid w:val="00C85CD0"/>
    <w:rsid w:val="00CF47B2"/>
    <w:rsid w:val="00D06711"/>
    <w:rsid w:val="00D4651B"/>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38355C"/>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38355C"/>
    <w:pPr>
      <w:spacing w:before="100" w:beforeAutospacing="1" w:after="100" w:afterAutospacing="1"/>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355C"/>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38355C"/>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38355C"/>
  </w:style>
  <w:style w:type="paragraph" w:styleId="a3">
    <w:name w:val="Normal (Web)"/>
    <w:basedOn w:val="a"/>
    <w:uiPriority w:val="99"/>
    <w:unhideWhenUsed/>
    <w:rsid w:val="0038355C"/>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38355C"/>
    <w:rPr>
      <w:b/>
      <w:bCs/>
    </w:rPr>
  </w:style>
  <w:style w:type="character" w:styleId="a5">
    <w:name w:val="Hyperlink"/>
    <w:basedOn w:val="a0"/>
    <w:uiPriority w:val="99"/>
    <w:semiHidden/>
    <w:unhideWhenUsed/>
    <w:rsid w:val="0038355C"/>
    <w:rPr>
      <w:color w:val="0000FF"/>
      <w:u w:val="single"/>
    </w:rPr>
  </w:style>
  <w:style w:type="character" w:styleId="a6">
    <w:name w:val="Emphasis"/>
    <w:basedOn w:val="a0"/>
    <w:uiPriority w:val="20"/>
    <w:qFormat/>
    <w:rsid w:val="0038355C"/>
    <w:rPr>
      <w:i/>
      <w:iCs/>
    </w:rPr>
  </w:style>
  <w:style w:type="paragraph" w:styleId="a7">
    <w:name w:val="Balloon Text"/>
    <w:basedOn w:val="a"/>
    <w:link w:val="a8"/>
    <w:uiPriority w:val="99"/>
    <w:semiHidden/>
    <w:unhideWhenUsed/>
    <w:rsid w:val="0038355C"/>
    <w:rPr>
      <w:rFonts w:ascii="Tahoma" w:hAnsi="Tahoma" w:cs="Tahoma"/>
      <w:sz w:val="16"/>
      <w:szCs w:val="16"/>
    </w:rPr>
  </w:style>
  <w:style w:type="character" w:customStyle="1" w:styleId="a8">
    <w:name w:val="Текст выноски Знак"/>
    <w:basedOn w:val="a0"/>
    <w:link w:val="a7"/>
    <w:uiPriority w:val="99"/>
    <w:semiHidden/>
    <w:rsid w:val="003835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94316251">
      <w:bodyDiv w:val="1"/>
      <w:marLeft w:val="0"/>
      <w:marRight w:val="0"/>
      <w:marTop w:val="0"/>
      <w:marBottom w:val="0"/>
      <w:divBdr>
        <w:top w:val="none" w:sz="0" w:space="0" w:color="auto"/>
        <w:left w:val="none" w:sz="0" w:space="0" w:color="auto"/>
        <w:bottom w:val="none" w:sz="0" w:space="0" w:color="auto"/>
        <w:right w:val="none" w:sz="0" w:space="0" w:color="auto"/>
      </w:divBdr>
    </w:div>
    <w:div w:id="93729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nslate.googleusercontent.com/translate_c?depth=1&amp;hl=ru&amp;prev=search&amp;rurl=translate.google.com.ua&amp;sl=en&amp;sp=nmt4&amp;u=http://batteryuniversity.com/learn/article/discharge_characteristics_li&amp;usg=ALkJrhjJZySVeMiCz0u07-LVPHmuApf-3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batteryuniversity.com/learn/article/ultra_fast_charger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batteryuniversity.com/learn/article/discharge_characteristics_li" TargetMode="External"/><Relationship Id="rId5" Type="http://schemas.openxmlformats.org/officeDocument/2006/relationships/image" Target="media/image1.jpeg"/><Relationship Id="rId10" Type="http://schemas.openxmlformats.org/officeDocument/2006/relationships/hyperlink" Target="http://batteryuniversity.com/learn/article/bu_808b_what_causes_li_ion_to_die" TargetMode="External"/><Relationship Id="rId4" Type="http://schemas.openxmlformats.org/officeDocument/2006/relationships/webSettings" Target="webSettings.xml"/><Relationship Id="rId9" Type="http://schemas.openxmlformats.org/officeDocument/2006/relationships/hyperlink" Target="https://translate.googleusercontent.com/translate_c?depth=1&amp;hl=ru&amp;prev=search&amp;rurl=translate.google.com.ua&amp;sl=en&amp;sp=nmt4&amp;u=http://batteryuniversity.com/learn/article/ultra_fast_chargers&amp;usg=ALkJrhhVgaxi32iw0PWj6ezAPnbUqEMEX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22F81-2B8A-422A-934A-6A1D330B2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12</Pages>
  <Words>4123</Words>
  <Characters>23504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2017-10-08T18:47:00Z</dcterms:created>
  <dcterms:modified xsi:type="dcterms:W3CDTF">2017-10-09T15:34:00Z</dcterms:modified>
</cp:coreProperties>
</file>