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ADA" w:rsidRPr="00354302" w:rsidRDefault="00293ADA" w:rsidP="00293AD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В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кінці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текст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мовою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оригіналу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.</w:t>
      </w:r>
    </w:p>
    <w:p w:rsidR="00AE15C0" w:rsidRPr="00AE15C0" w:rsidRDefault="00AE15C0" w:rsidP="00AE15C0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AE15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Что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вызывает</w:t>
      </w:r>
      <w:r w:rsidRPr="00AE15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 повышенный саморазряд? </w:t>
      </w:r>
    </w:p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Узнайте о часто игнорируемой характеристике батарей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В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се батареи подвергаются саморазряду. Саморазряд - это не производственный дефект, а характеристика батареи; хотя плохая практика изготовления и неправильное обращение могут увеличить проблему. Саморазряд является постоянным и не может быть отменен. На рисунке 1 показан саморазряд в виде утечки текучей среды. </w:t>
      </w:r>
    </w:p>
    <w:tbl>
      <w:tblPr>
        <w:tblW w:w="709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547"/>
        <w:gridCol w:w="3548"/>
      </w:tblGrid>
      <w:tr w:rsidR="00AE15C0" w:rsidRPr="00AE15C0" w:rsidTr="00AE15C0">
        <w:trPr>
          <w:trHeight w:val="2728"/>
          <w:tblCellSpacing w:w="0" w:type="dxa"/>
        </w:trPr>
        <w:tc>
          <w:tcPr>
            <w:tcW w:w="2500" w:type="pct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790700" cy="1962150"/>
                  <wp:effectExtent l="19050" t="0" r="0" b="0"/>
                  <wp:docPr id="1" name="Рисунок 1" descr="Эффекты высокого саморазря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ффекты высокого саморазря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Рисунок 1: Эффекты высокого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саморазряда.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Саморазряд увеличивается с возрастом, велосипедом и повышенной температурой. Откажитесь от батареи, если саморазряд достигает 30 процентов за 24 часа</w:t>
            </w:r>
            <w:proofErr w:type="gramStart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.</w:t>
            </w:r>
            <w:proofErr w:type="gramEnd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Предоставлено </w:t>
            </w:r>
            <w:proofErr w:type="spellStart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Cadex</w:t>
            </w:r>
            <w:proofErr w:type="spellEnd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Количество электрических саморазрядов зависит от типа батареи и химического состава. Первичные клетки, такие как литий-металл и щелочь, сохраняют сохраненную энергию лучше всего и могут храниться в хранилище в течение нескольких лет. Среди перезаряжаемых батарей свинцовая кислота имеет одну из самых низких скоростей саморазряда и теряет только около 5 процентов в месяц. Однако с использованием и возрастом затопленная свинцовая кислота накапливает осадок в ловушке осадка, что приводит к мягкому короткому замыканию, когда это полупроводниковое вещество достигает пластин.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Потери энергии являются асимптотическими, что означает, что саморазряд является самым высоким сразу после заряда, а затем сужается. Никелевые батареи теряют 10-15 процентов своей мощности 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первые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24 часа после зарядки, а затем 10-15 процентов в месяц. На рисунке 2 показана типичная потеря батареи на основе никеля при хранении.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625"/>
      </w:tblGrid>
      <w:tr w:rsidR="00AE15C0" w:rsidRPr="00AE15C0" w:rsidTr="00AE15C0">
        <w:trPr>
          <w:tblCellSpacing w:w="0" w:type="dxa"/>
        </w:trPr>
        <w:tc>
          <w:tcPr>
            <w:tcW w:w="5625" w:type="dxa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467100" cy="2057400"/>
                  <wp:effectExtent l="19050" t="0" r="0" b="0"/>
                  <wp:docPr id="2" name="Рисунок 2" descr="Саморазряд как функция време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аморазряд как функция време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15C0" w:rsidRPr="00AE15C0" w:rsidTr="00AE15C0">
        <w:trPr>
          <w:trHeight w:val="1622"/>
          <w:tblCellSpacing w:w="0" w:type="dxa"/>
        </w:trPr>
        <w:tc>
          <w:tcPr>
            <w:tcW w:w="5625" w:type="dxa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Рисунок 2: Саморазряд как функция времени.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Сброс самый высокий сразу после зарядки и сужается. На графике показан саморазряд никеля. Системы на основе лития и лития имеют более низкий саморазряд.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Предоставлено </w:t>
            </w:r>
            <w:proofErr w:type="spellStart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Cadex</w:t>
            </w:r>
            <w:proofErr w:type="spellEnd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br/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NiMH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NiCd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относятся к перезаряжаемым батареям с самым высоким саморазрядом; они требуют подзарядки перед использованием, когда они помещаются на полку в течение нескольких недель. Высокопроизводительный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NiCd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имеет более высокий уровень саморазряда, чем стандартные версии. Кроме того, саморазряд увеличивается с использованием и возрастом, из 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которых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кристаллизационное образование (память) является фактором, способствующим развитию. Регулярные циклы полного разряда контролируют память. </w:t>
      </w:r>
    </w:p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Литий-ионные</w:t>
      </w:r>
      <w:proofErr w:type="spellEnd"/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разряды составляют около 5 процентов в первые 24 часа, а затем теряют 1-2 процента в месяц; схема защиты добавляет еще 3 процента в месяц. Неисправный сепаратор может привести к повышенному саморазряду, который может развиться в текущий путь, вырабатывать тепло 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крайнем случае инициировать термический сбой. С точки зрения саморазряда свинцовая кислота похожа на литий-ион. В таблице 3 приведены ожидаемые саморазряды различных аккумуляторных систем. </w:t>
      </w:r>
    </w:p>
    <w:tbl>
      <w:tblPr>
        <w:tblW w:w="7500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4"/>
        <w:gridCol w:w="5266"/>
      </w:tblGrid>
      <w:tr w:rsidR="00AE15C0" w:rsidRPr="00AE15C0" w:rsidTr="00AE15C0">
        <w:trPr>
          <w:tblHeader/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Батарея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Расчетный саморазряд </w:t>
            </w:r>
          </w:p>
        </w:tc>
      </w:tr>
      <w:tr w:rsidR="00AE15C0" w:rsidRPr="00AE15C0" w:rsidTr="00AE15C0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Первичный литий-металл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10% через 5 лет </w:t>
            </w:r>
          </w:p>
        </w:tc>
      </w:tr>
      <w:tr w:rsidR="00AE15C0" w:rsidRPr="00AE15C0" w:rsidTr="00AE15C0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щелочной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2-3% в год (срок хранения 7-10 лет) </w:t>
            </w:r>
          </w:p>
        </w:tc>
      </w:tr>
      <w:tr w:rsidR="00AE15C0" w:rsidRPr="00AE15C0" w:rsidTr="00AE15C0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Свинцово-кислотный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5% в месяц </w:t>
            </w:r>
          </w:p>
        </w:tc>
      </w:tr>
      <w:tr w:rsidR="00AE15C0" w:rsidRPr="00AE15C0" w:rsidTr="00AE15C0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 основе никеля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10-15% за 24 часа, затем 10-15% в месяц </w:t>
            </w:r>
          </w:p>
        </w:tc>
      </w:tr>
      <w:tr w:rsidR="00AE15C0" w:rsidRPr="00AE15C0" w:rsidTr="00AE15C0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Литий-ионный</w:t>
            </w:r>
            <w:proofErr w:type="spellEnd"/>
            <w:proofErr w:type="gramEnd"/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5% за 24 часа, затем 1-2% в месяц (плюс 3% для цепи безопасности) </w:t>
            </w:r>
          </w:p>
        </w:tc>
      </w:tr>
    </w:tbl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Таблица 3: Процент саморазряда в годах и месяцах.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Первичные батареи имеют значительно меньше саморазряда, чем вторичные (перезаряжаемые) батареи.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Саморазряд всех химических батарей увеличивается при более высокой температуре, и скорость обычно удваивается при каждых 10 ° C (18 ° F). Заметная потеря энергии возникает, если батарея остается в горячем автомобиле. Высокое количество циклов и старение также увеличивают саморазряд всех систем. Никель-металл-гидрид хорош для 300-400 циклов, тогда как стандартный никель-кадмий длится более 1000 циклов, прежде чем повышенный саморазряд начинает мешать работе. Саморазряд на старшей батарее на никеле может стать настолько высокой, что пакет будет плоским от утечки, а не от обычного использования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емонстрирующая взаимосвязь мощности, внутреннего сопротивления и саморазряда).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При нормальных условиях саморазряд Li-иона достаточно устойчив на протяжении всего срока службы; однако, полная зарядка и повышенная температура вызывают увеличение. Эти же факторы также влияют на долговечность. Кроме того, полностью заряженный литий-ион более подвержен провалу, чем частично заряженный. Таблица 4 показывает саморазряд в месяц Li-иона при различных температурах и состоянии заряда. Неожиданно высокий уровень саморазряда при полном состоянии заряда и высоких температурах. 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70"/>
        <w:gridCol w:w="2070"/>
        <w:gridCol w:w="2070"/>
        <w:gridCol w:w="2070"/>
      </w:tblGrid>
      <w:tr w:rsidR="00AE15C0" w:rsidRPr="00AE15C0" w:rsidTr="00AE15C0">
        <w:trPr>
          <w:tblCellSpacing w:w="0" w:type="dxa"/>
        </w:trPr>
        <w:tc>
          <w:tcPr>
            <w:tcW w:w="2070" w:type="dxa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Степень зарядки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0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 (32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F)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25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 (77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F)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60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 (140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F)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E15C0" w:rsidRPr="00AE15C0" w:rsidTr="00AE15C0">
        <w:trPr>
          <w:tblCellSpacing w:w="0" w:type="dxa"/>
        </w:trPr>
        <w:tc>
          <w:tcPr>
            <w:tcW w:w="2070" w:type="dxa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Полный заряд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40-60% заряда</w:t>
            </w: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6%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2%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20%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4%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35% </w:t>
            </w:r>
          </w:p>
          <w:p w:rsidR="00AE15C0" w:rsidRPr="00AE15C0" w:rsidRDefault="00AE15C0" w:rsidP="00AE15C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E15C0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15% </w:t>
            </w:r>
          </w:p>
        </w:tc>
      </w:tr>
    </w:tbl>
    <w:p w:rsid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Таблица 4: Саморазряд в месяц Li-иона при различных температурах и состоянии заряда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Саморазряд увеличивается с повышением температуры и выше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Литий-ион не должен разряжаться ниже 2.50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ячейка. Цепь защиты отключается, и большинство зарядных устройств не заряжают батарею в этом состоянии. Программа «повышения», применяющая нежный зарядный ток для разблокировки цепи защиты, часто восстанавливает батарею на полную мощность. </w:t>
      </w:r>
    </w:p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br/>
        <w:t>Есть причины, почему литий-ион укладывается в сон при разрядке ниже 2.50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ячейка. Медные дендриты растут, если клетке разрешено проживать в низковольтном состоянии более чем на неделю. Это приводит к повышенному саморазряду, что может поставить под угрозу безопасность.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Механизмы саморазряда также должны соблюдаться при изготовлении. Они варьируются от коррозии до примесей в электродах, которые отражают вариации саморазряда не только от партии до партии, но также и от ячейки к ячейке. Изготовитель качества проверяет саморазряд каждой ячейки и отклоняет те, которые выходят за пределы допусков.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На рисунке 5 сравнивается саморазряд новой </w:t>
      </w:r>
      <w:proofErr w:type="spellStart"/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литий-ионной</w:t>
      </w:r>
      <w:proofErr w:type="spellEnd"/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ячейки с ячейкой, которая подвергалась вынужденным глубоким разрядам, а другая была полностью разряжена, закорочена на 14 дней, а затем перезаряжена. Ячейка, которая подвергалась воздействию глубоких разрядов вне 2.50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ч, показывает немного более высокий саморазряд, чем новая ячейка. Наибольший саморазряд видится с ячейкой, которая хранилась при нулевом напряжении. </w:t>
      </w:r>
    </w:p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114751" cy="2647950"/>
            <wp:effectExtent l="19050" t="0" r="0" b="0"/>
            <wp:docPr id="3" name="Рисунок 3" descr="Самовыделение литий-ионн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амовыделение литий-ионног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64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Рисунок 5: Саморазряд новых и напряженных </w:t>
      </w:r>
      <w:proofErr w:type="spellStart"/>
      <w:proofErr w:type="gramStart"/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элементов.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 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Клетки, которые были нагружены глубокими разрядами и поддерживались при 0</w:t>
      </w:r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показали более высокий саморазряд, чем новая клетка.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Источник: TU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München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E15C0" w:rsidRPr="00AE15C0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Рисунок 6 иллюстрирует саморазряд свинцово-кислотной батареи при различных температурах окружающей среды. При комнатной температуре 20 ° C (68 ° F) саморазряд составляет примерно 3% в месяц, и теоретически батарею можно хранить в течение 12 месяцев без подзарядки. При высокой температуре 30 ° C (86 ° F) саморазряд увеличивается, и после 6 месяцев требуется перезарядка. Если батарея упадет ниже 60 процентов,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течение некоторого времени вызывает </w:t>
      </w:r>
      <w:hyperlink r:id="rId7" w:history="1">
        <w:proofErr w:type="spellStart"/>
        <w:r w:rsidRPr="00AE15C0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сульфатирование</w:t>
        </w:r>
        <w:proofErr w:type="spellEnd"/>
      </w:hyperlink>
      <w:proofErr w:type="gram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proofErr w:type="gramEnd"/>
    </w:p>
    <w:p w:rsidR="00AE15C0" w:rsidRPr="00293ADA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829175" cy="2362200"/>
            <wp:effectExtent l="19050" t="0" r="9525" b="0"/>
            <wp:docPr id="4" name="Рисунок 4" descr="Место хра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сто хранени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Рисунок 6: Саморазряд свинцовой кислоты в зависимости от температуры.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Свинцовая кислота никогда не должна опускаться ниже 60% </w:t>
      </w:r>
      <w:proofErr w:type="spellStart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Заряжайте чаще, когда будете тепло.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E15C0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Источник</w:t>
      </w:r>
      <w:r w:rsidRPr="00293AD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: Power-Sonic</w:t>
      </w:r>
      <w:r w:rsidRPr="00293A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AE15C0" w:rsidRPr="00293ADA" w:rsidRDefault="00AE15C0" w:rsidP="00AE15C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Последнее</w:t>
      </w:r>
      <w:r w:rsidRPr="00293A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E15C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обновление</w:t>
      </w:r>
      <w:r w:rsidRPr="00293AD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2017-04-04 </w:t>
      </w:r>
    </w:p>
    <w:p w:rsidR="003A246D" w:rsidRDefault="003A246D">
      <w:pPr>
        <w:rPr>
          <w:rStyle w:val="notranslate"/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>
        <w:rPr>
          <w:rStyle w:val="notranslate"/>
          <w:lang w:val="en-US"/>
        </w:rPr>
        <w:br w:type="page"/>
      </w:r>
    </w:p>
    <w:p w:rsidR="003A246D" w:rsidRPr="003A246D" w:rsidRDefault="003A246D" w:rsidP="003A246D">
      <w:pPr>
        <w:pStyle w:val="1"/>
        <w:rPr>
          <w:lang w:val="en-US"/>
        </w:rPr>
      </w:pPr>
      <w:r w:rsidRPr="003A246D">
        <w:rPr>
          <w:rStyle w:val="notranslate"/>
          <w:lang w:val="en-US"/>
        </w:rPr>
        <w:lastRenderedPageBreak/>
        <w:t>What does Elevated Self-discharge Do?</w:t>
      </w:r>
      <w:r w:rsidRPr="003A246D">
        <w:rPr>
          <w:lang w:val="en-US"/>
        </w:rPr>
        <w:t xml:space="preserve"> </w:t>
      </w:r>
    </w:p>
    <w:p w:rsidR="003A246D" w:rsidRPr="003A246D" w:rsidRDefault="003A246D" w:rsidP="003A246D">
      <w:pPr>
        <w:pStyle w:val="a3"/>
        <w:rPr>
          <w:lang w:val="en-US"/>
        </w:rPr>
      </w:pPr>
      <w:r w:rsidRPr="003A246D">
        <w:rPr>
          <w:rStyle w:val="a4"/>
          <w:lang w:val="en-US"/>
        </w:rPr>
        <w:t>Learn about an often ignored characteristic of batteries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All batteries are affected by self-discharge.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Self-discharge is not a manufacturing defect but a battery characteristic;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although poor fabrication practices and improper handling can increase the problem.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Self-discharge is permanent and cannot be reversed.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Figure 1 illustrates self-discharge in the form of leaking fluid.</w:t>
      </w:r>
      <w:r w:rsidRPr="003A246D">
        <w:rPr>
          <w:lang w:val="en-US"/>
        </w:rPr>
        <w:t xml:space="preserve"> </w:t>
      </w:r>
    </w:p>
    <w:tbl>
      <w:tblPr>
        <w:tblW w:w="748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42"/>
        <w:gridCol w:w="3743"/>
      </w:tblGrid>
      <w:tr w:rsidR="003A246D" w:rsidTr="003A246D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A246D" w:rsidRDefault="003A246D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1790700" cy="1962150"/>
                  <wp:effectExtent l="19050" t="0" r="0" b="0"/>
                  <wp:docPr id="8" name="Рисунок 1" descr="Effects of high self-disch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ffects of high self-disch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0" w:type="dxa"/>
            <w:vAlign w:val="center"/>
            <w:hideMark/>
          </w:tcPr>
          <w:p w:rsidR="003A246D" w:rsidRPr="003A246D" w:rsidRDefault="003A246D">
            <w:pPr>
              <w:pStyle w:val="a3"/>
              <w:rPr>
                <w:lang w:val="en-US"/>
              </w:rPr>
            </w:pPr>
            <w:r w:rsidRPr="003A246D">
              <w:rPr>
                <w:rStyle w:val="a4"/>
                <w:lang w:val="en-US"/>
              </w:rPr>
              <w:t>Figure 1: Effects of high</w:t>
            </w:r>
            <w:r w:rsidRPr="003A246D">
              <w:rPr>
                <w:rStyle w:val="notranslate"/>
                <w:lang w:val="en-US"/>
              </w:rPr>
              <w:t xml:space="preserve"> </w:t>
            </w:r>
            <w:r w:rsidRPr="003A246D">
              <w:rPr>
                <w:rStyle w:val="a4"/>
                <w:lang w:val="en-US"/>
              </w:rPr>
              <w:t>self-discharge.</w:t>
            </w:r>
            <w:r w:rsidRPr="003A246D">
              <w:rPr>
                <w:lang w:val="en-US"/>
              </w:rPr>
              <w:t xml:space="preserve"> </w:t>
            </w:r>
          </w:p>
          <w:p w:rsidR="003A246D" w:rsidRPr="003A246D" w:rsidRDefault="003A246D">
            <w:pPr>
              <w:pStyle w:val="a3"/>
              <w:rPr>
                <w:lang w:val="en-US"/>
              </w:rPr>
            </w:pPr>
            <w:r w:rsidRPr="003A246D">
              <w:rPr>
                <w:rStyle w:val="notranslate"/>
                <w:lang w:val="en-US"/>
              </w:rPr>
              <w:t>Self-discharge increases with age, cycling and elevated temperature.</w:t>
            </w:r>
            <w:r w:rsidRPr="003A246D">
              <w:rPr>
                <w:lang w:val="en-US"/>
              </w:rPr>
              <w:t xml:space="preserve"> </w:t>
            </w:r>
            <w:r w:rsidRPr="003A246D">
              <w:rPr>
                <w:rStyle w:val="notranslate"/>
                <w:lang w:val="en-US"/>
              </w:rPr>
              <w:t xml:space="preserve">Discard a battery if the self-discharge reaches 30 percent in 24 </w:t>
            </w:r>
            <w:proofErr w:type="gramStart"/>
            <w:r w:rsidRPr="003A246D">
              <w:rPr>
                <w:rStyle w:val="notranslate"/>
                <w:lang w:val="en-US"/>
              </w:rPr>
              <w:t xml:space="preserve">hours </w:t>
            </w:r>
            <w:r w:rsidRPr="003A246D">
              <w:rPr>
                <w:rStyle w:val="a5"/>
                <w:lang w:val="en-US"/>
              </w:rPr>
              <w:t>.</w:t>
            </w:r>
            <w:proofErr w:type="gramEnd"/>
            <w:r w:rsidRPr="003A246D">
              <w:rPr>
                <w:lang w:val="en-US"/>
              </w:rPr>
              <w:t xml:space="preserve"> </w:t>
            </w:r>
          </w:p>
          <w:p w:rsidR="003A246D" w:rsidRDefault="003A246D">
            <w:pPr>
              <w:pStyle w:val="a3"/>
            </w:pPr>
            <w:proofErr w:type="spellStart"/>
            <w:r>
              <w:rPr>
                <w:rStyle w:val="notranslate"/>
                <w:vertAlign w:val="superscript"/>
              </w:rPr>
              <w:t>Courtesy</w:t>
            </w:r>
            <w:proofErr w:type="spellEnd"/>
            <w:r>
              <w:rPr>
                <w:rStyle w:val="notranslate"/>
                <w:vertAlign w:val="superscript"/>
              </w:rPr>
              <w:t xml:space="preserve"> </w:t>
            </w:r>
            <w:proofErr w:type="spellStart"/>
            <w:r>
              <w:rPr>
                <w:rStyle w:val="notranslate"/>
                <w:vertAlign w:val="superscript"/>
              </w:rPr>
              <w:t>of</w:t>
            </w:r>
            <w:proofErr w:type="spellEnd"/>
            <w:r>
              <w:rPr>
                <w:rStyle w:val="notranslate"/>
                <w:vertAlign w:val="superscript"/>
              </w:rPr>
              <w:t xml:space="preserve"> </w:t>
            </w:r>
            <w:proofErr w:type="spellStart"/>
            <w:r>
              <w:rPr>
                <w:rStyle w:val="notranslate"/>
                <w:vertAlign w:val="superscript"/>
              </w:rPr>
              <w:t>Cadex</w:t>
            </w:r>
            <w:proofErr w:type="spellEnd"/>
            <w:r>
              <w:t xml:space="preserve"> </w:t>
            </w:r>
          </w:p>
        </w:tc>
      </w:tr>
    </w:tbl>
    <w:p w:rsidR="003A246D" w:rsidRPr="003A246D" w:rsidRDefault="003A246D" w:rsidP="003A246D">
      <w:pPr>
        <w:pStyle w:val="a3"/>
        <w:rPr>
          <w:lang w:val="en-US"/>
        </w:rPr>
      </w:pP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The amount of electrical self-discharge varies with battery type and chemistry.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Primary cells such as lithium-metal and alkaline retain the stored energy best, and can be kept in storage for several years.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Among rechargeable batteries, lead acid has one of the lowest self-discharge rates and loses only about 5 percent per month.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With usage and age, however, the flooded lead acid builds up sludge in the sediment trap, which causes a soft short when this semi-conductive substance reaches the plates.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The energy loss is asymptotical, meaning that the self-discharge is highest right after charge and then tapers off.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Nickel-based batteries lose 10–15 percent of their capacity in the first 24 hours after charge, then 10–15 percent per month.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Figure 2 shows the typical loss of a nickel-based battery while in storage.</w:t>
      </w:r>
      <w:r w:rsidRPr="003A246D">
        <w:rPr>
          <w:lang w:val="en-US"/>
        </w:rPr>
        <w:t xml:space="preserve">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625"/>
      </w:tblGrid>
      <w:tr w:rsidR="003A246D" w:rsidTr="003A246D">
        <w:trPr>
          <w:tblCellSpacing w:w="0" w:type="dxa"/>
        </w:trPr>
        <w:tc>
          <w:tcPr>
            <w:tcW w:w="5625" w:type="dxa"/>
            <w:vAlign w:val="center"/>
            <w:hideMark/>
          </w:tcPr>
          <w:p w:rsidR="003A246D" w:rsidRDefault="003A246D">
            <w:pPr>
              <w:pStyle w:val="a3"/>
            </w:pPr>
            <w:r>
              <w:rPr>
                <w:noProof/>
              </w:rPr>
              <w:drawing>
                <wp:inline distT="0" distB="0" distL="0" distR="0">
                  <wp:extent cx="3467100" cy="2247900"/>
                  <wp:effectExtent l="19050" t="0" r="0" b="0"/>
                  <wp:docPr id="7" name="Рисунок 2" descr="Self-discharge as a function of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lf-discharge as a function of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46D" w:rsidTr="003A246D">
        <w:trPr>
          <w:tblCellSpacing w:w="0" w:type="dxa"/>
        </w:trPr>
        <w:tc>
          <w:tcPr>
            <w:tcW w:w="5625" w:type="dxa"/>
            <w:vAlign w:val="center"/>
            <w:hideMark/>
          </w:tcPr>
          <w:p w:rsidR="003A246D" w:rsidRPr="003A246D" w:rsidRDefault="003A246D">
            <w:pPr>
              <w:pStyle w:val="a3"/>
              <w:rPr>
                <w:lang w:val="en-US"/>
              </w:rPr>
            </w:pPr>
            <w:r w:rsidRPr="003A246D">
              <w:rPr>
                <w:rStyle w:val="a4"/>
                <w:lang w:val="en-US"/>
              </w:rPr>
              <w:t>Figure 2: Self-discharge as a function of time.</w:t>
            </w:r>
            <w:r w:rsidRPr="003A246D">
              <w:rPr>
                <w:lang w:val="en-US"/>
              </w:rPr>
              <w:t xml:space="preserve"> </w:t>
            </w:r>
          </w:p>
          <w:p w:rsidR="003A246D" w:rsidRPr="003A246D" w:rsidRDefault="003A246D">
            <w:pPr>
              <w:pStyle w:val="a3"/>
              <w:rPr>
                <w:lang w:val="en-US"/>
              </w:rPr>
            </w:pPr>
            <w:r w:rsidRPr="003A246D">
              <w:rPr>
                <w:rStyle w:val="notranslate"/>
                <w:lang w:val="en-US"/>
              </w:rPr>
              <w:t>The discharge is highest right after charge and tapers off.</w:t>
            </w:r>
            <w:r w:rsidRPr="003A246D">
              <w:rPr>
                <w:lang w:val="en-US"/>
              </w:rPr>
              <w:t xml:space="preserve"> </w:t>
            </w:r>
            <w:r w:rsidRPr="003A246D">
              <w:rPr>
                <w:rStyle w:val="notranslate"/>
                <w:lang w:val="en-US"/>
              </w:rPr>
              <w:t>The graph shows self-discharge of a nickel-based battery.</w:t>
            </w:r>
            <w:r w:rsidRPr="003A246D">
              <w:rPr>
                <w:lang w:val="en-US"/>
              </w:rPr>
              <w:t xml:space="preserve"> </w:t>
            </w:r>
            <w:r w:rsidRPr="003A246D">
              <w:rPr>
                <w:rStyle w:val="notranslate"/>
                <w:lang w:val="en-US"/>
              </w:rPr>
              <w:t>Lead- and lithium-based systems have a lower self-discharge.</w:t>
            </w:r>
            <w:r w:rsidRPr="003A246D">
              <w:rPr>
                <w:lang w:val="en-US"/>
              </w:rPr>
              <w:t xml:space="preserve"> </w:t>
            </w:r>
          </w:p>
          <w:p w:rsidR="003A246D" w:rsidRDefault="003A246D">
            <w:pPr>
              <w:pStyle w:val="a3"/>
            </w:pPr>
            <w:proofErr w:type="spellStart"/>
            <w:r>
              <w:rPr>
                <w:rStyle w:val="notranslate"/>
                <w:vertAlign w:val="superscript"/>
              </w:rPr>
              <w:t>Courtesy</w:t>
            </w:r>
            <w:proofErr w:type="spellEnd"/>
            <w:r>
              <w:rPr>
                <w:rStyle w:val="notranslate"/>
                <w:vertAlign w:val="superscript"/>
              </w:rPr>
              <w:t xml:space="preserve"> </w:t>
            </w:r>
            <w:proofErr w:type="spellStart"/>
            <w:r>
              <w:rPr>
                <w:rStyle w:val="notranslate"/>
                <w:vertAlign w:val="superscript"/>
              </w:rPr>
              <w:t>of</w:t>
            </w:r>
            <w:proofErr w:type="spellEnd"/>
            <w:r>
              <w:rPr>
                <w:rStyle w:val="notranslate"/>
                <w:vertAlign w:val="superscript"/>
              </w:rPr>
              <w:t xml:space="preserve"> </w:t>
            </w:r>
            <w:proofErr w:type="spellStart"/>
            <w:r>
              <w:rPr>
                <w:rStyle w:val="notranslate"/>
                <w:vertAlign w:val="superscript"/>
              </w:rPr>
              <w:t>Cadex</w:t>
            </w:r>
            <w:proofErr w:type="spellEnd"/>
            <w:r>
              <w:t xml:space="preserve"> </w:t>
            </w:r>
          </w:p>
        </w:tc>
      </w:tr>
    </w:tbl>
    <w:p w:rsidR="003A246D" w:rsidRPr="003A246D" w:rsidRDefault="003A246D" w:rsidP="003A246D">
      <w:pPr>
        <w:pStyle w:val="a3"/>
        <w:rPr>
          <w:lang w:val="en-US"/>
        </w:rPr>
      </w:pPr>
      <w:r w:rsidRPr="003A246D">
        <w:rPr>
          <w:lang w:val="en-US"/>
        </w:rPr>
        <w:br/>
      </w:r>
      <w:proofErr w:type="spellStart"/>
      <w:r w:rsidRPr="003A246D">
        <w:rPr>
          <w:rStyle w:val="notranslate"/>
          <w:lang w:val="en-US"/>
        </w:rPr>
        <w:t>NiMH</w:t>
      </w:r>
      <w:proofErr w:type="spellEnd"/>
      <w:r w:rsidRPr="003A246D">
        <w:rPr>
          <w:rStyle w:val="notranslate"/>
          <w:lang w:val="en-US"/>
        </w:rPr>
        <w:t xml:space="preserve"> and </w:t>
      </w:r>
      <w:proofErr w:type="spellStart"/>
      <w:r w:rsidRPr="003A246D">
        <w:rPr>
          <w:rStyle w:val="notranslate"/>
          <w:lang w:val="en-US"/>
        </w:rPr>
        <w:t>NiCd</w:t>
      </w:r>
      <w:proofErr w:type="spellEnd"/>
      <w:r w:rsidRPr="003A246D">
        <w:rPr>
          <w:rStyle w:val="notranslate"/>
          <w:lang w:val="en-US"/>
        </w:rPr>
        <w:t xml:space="preserve"> belong to rechargeable batteries that have the highest self-discharge;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they need recharging before use when placed on a shelf for a few weeks.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 xml:space="preserve">High-performance </w:t>
      </w:r>
      <w:proofErr w:type="spellStart"/>
      <w:r w:rsidRPr="003A246D">
        <w:rPr>
          <w:rStyle w:val="notranslate"/>
          <w:lang w:val="en-US"/>
        </w:rPr>
        <w:t>NiCd</w:t>
      </w:r>
      <w:proofErr w:type="spellEnd"/>
      <w:r w:rsidRPr="003A246D">
        <w:rPr>
          <w:rStyle w:val="notranslate"/>
          <w:lang w:val="en-US"/>
        </w:rPr>
        <w:t xml:space="preserve"> has a higher self-discharge than the standard versions.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 xml:space="preserve">Furthermore, the self-discharge increases with use and age, of which crystalline formation </w:t>
      </w:r>
      <w:r w:rsidRPr="003A246D">
        <w:rPr>
          <w:rStyle w:val="notranslate"/>
          <w:lang w:val="en-US"/>
        </w:rPr>
        <w:lastRenderedPageBreak/>
        <w:t>(memory) is a contributing factor.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Regular full discharge cycles keeps memory under control.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Li-ion self-discharges about 5 percent in the first 24 hours and then loses 1–2 percent per month;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protection circuit adds another 3 percent per month.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 faulty separator can lead to elevated self-discharge that could develop into a current path, generating heat and, in an extreme case, initiate a thermal breakdown.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In terms of self-discharge, lead acid is similar to Li-ion.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Table 3 summarizes the expected self-discharge of different battery systems.</w:t>
      </w:r>
      <w:r w:rsidRPr="003A246D">
        <w:rPr>
          <w:lang w:val="en-US"/>
        </w:rPr>
        <w:t xml:space="preserve"> </w:t>
      </w:r>
    </w:p>
    <w:tbl>
      <w:tblPr>
        <w:tblW w:w="750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71"/>
        <w:gridCol w:w="5429"/>
      </w:tblGrid>
      <w:tr w:rsidR="003A246D" w:rsidTr="003A246D">
        <w:trPr>
          <w:tblHeader/>
          <w:tblCellSpacing w:w="7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  <w:rPr>
                <w:b/>
                <w:bCs/>
              </w:rPr>
            </w:pPr>
            <w:proofErr w:type="spellStart"/>
            <w:r>
              <w:rPr>
                <w:rStyle w:val="notranslate"/>
                <w:b/>
                <w:bCs/>
              </w:rPr>
              <w:t>Battery</w:t>
            </w:r>
            <w:proofErr w:type="spellEnd"/>
            <w:r>
              <w:rPr>
                <w:rStyle w:val="notranslate"/>
                <w:b/>
                <w:bCs/>
              </w:rPr>
              <w:t xml:space="preserve"> </w:t>
            </w:r>
            <w:proofErr w:type="spellStart"/>
            <w:r>
              <w:rPr>
                <w:rStyle w:val="notranslate"/>
                <w:b/>
                <w:bCs/>
              </w:rPr>
              <w:t>system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  <w:rPr>
                <w:b/>
                <w:bCs/>
              </w:rPr>
            </w:pPr>
            <w:proofErr w:type="spellStart"/>
            <w:r>
              <w:rPr>
                <w:rStyle w:val="notranslate"/>
                <w:b/>
                <w:bCs/>
              </w:rPr>
              <w:t>Estimated</w:t>
            </w:r>
            <w:proofErr w:type="spellEnd"/>
            <w:r>
              <w:rPr>
                <w:rStyle w:val="notranslate"/>
                <w:b/>
                <w:bCs/>
              </w:rPr>
              <w:t xml:space="preserve"> </w:t>
            </w:r>
            <w:proofErr w:type="spellStart"/>
            <w:r>
              <w:rPr>
                <w:rStyle w:val="notranslate"/>
                <w:b/>
                <w:bCs/>
              </w:rPr>
              <w:t>self-discharge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3A246D" w:rsidTr="003A246D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notranslate"/>
              </w:rPr>
              <w:t>Primary</w:t>
            </w:r>
            <w:proofErr w:type="spellEnd"/>
            <w:r>
              <w:rPr>
                <w:rStyle w:val="notranslate"/>
              </w:rPr>
              <w:t xml:space="preserve"> </w:t>
            </w:r>
            <w:proofErr w:type="spellStart"/>
            <w:r>
              <w:rPr>
                <w:rStyle w:val="notranslate"/>
              </w:rPr>
              <w:t>lithium-metal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 xml:space="preserve">10% </w:t>
            </w:r>
            <w:proofErr w:type="spellStart"/>
            <w:r>
              <w:rPr>
                <w:rStyle w:val="notranslate"/>
              </w:rPr>
              <w:t>in</w:t>
            </w:r>
            <w:proofErr w:type="spellEnd"/>
            <w:r>
              <w:rPr>
                <w:rStyle w:val="notranslate"/>
              </w:rPr>
              <w:t xml:space="preserve"> 5 </w:t>
            </w:r>
            <w:proofErr w:type="spellStart"/>
            <w:r>
              <w:rPr>
                <w:rStyle w:val="notranslate"/>
              </w:rPr>
              <w:t>years</w:t>
            </w:r>
            <w:proofErr w:type="spellEnd"/>
            <w:r>
              <w:t xml:space="preserve"> </w:t>
            </w:r>
          </w:p>
        </w:tc>
      </w:tr>
      <w:tr w:rsidR="003A246D" w:rsidTr="003A246D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notranslate"/>
              </w:rPr>
              <w:t>Alkaline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3A246D" w:rsidRPr="003A246D" w:rsidRDefault="003A246D">
            <w:pPr>
              <w:pStyle w:val="a3"/>
              <w:jc w:val="center"/>
              <w:rPr>
                <w:lang w:val="en-US"/>
              </w:rPr>
            </w:pPr>
            <w:r w:rsidRPr="003A246D">
              <w:rPr>
                <w:rStyle w:val="notranslate"/>
                <w:lang w:val="en-US"/>
              </w:rPr>
              <w:t>2–3% per year (7-10 years shelf life)</w:t>
            </w:r>
            <w:r w:rsidRPr="003A246D">
              <w:rPr>
                <w:lang w:val="en-US"/>
              </w:rPr>
              <w:t xml:space="preserve"> </w:t>
            </w:r>
          </w:p>
        </w:tc>
      </w:tr>
      <w:tr w:rsidR="003A246D" w:rsidTr="003A246D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notranslate"/>
              </w:rPr>
              <w:t>Lead-acid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 xml:space="preserve">5% </w:t>
            </w:r>
            <w:proofErr w:type="spellStart"/>
            <w:r>
              <w:rPr>
                <w:rStyle w:val="notranslate"/>
              </w:rPr>
              <w:t>per</w:t>
            </w:r>
            <w:proofErr w:type="spellEnd"/>
            <w:r>
              <w:rPr>
                <w:rStyle w:val="notranslate"/>
              </w:rPr>
              <w:t xml:space="preserve"> </w:t>
            </w:r>
            <w:proofErr w:type="spellStart"/>
            <w:r>
              <w:rPr>
                <w:rStyle w:val="notranslate"/>
              </w:rPr>
              <w:t>month</w:t>
            </w:r>
            <w:proofErr w:type="spellEnd"/>
            <w:r>
              <w:t xml:space="preserve"> </w:t>
            </w:r>
          </w:p>
        </w:tc>
      </w:tr>
      <w:tr w:rsidR="003A246D" w:rsidTr="003A246D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notranslate"/>
              </w:rPr>
              <w:t>Nickel-based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3A246D" w:rsidRPr="003A246D" w:rsidRDefault="003A246D">
            <w:pPr>
              <w:pStyle w:val="a3"/>
              <w:jc w:val="center"/>
              <w:rPr>
                <w:lang w:val="en-US"/>
              </w:rPr>
            </w:pPr>
            <w:r w:rsidRPr="003A246D">
              <w:rPr>
                <w:rStyle w:val="notranslate"/>
                <w:lang w:val="en-US"/>
              </w:rPr>
              <w:t>10–15% in 24h, then 10-15% per month</w:t>
            </w:r>
            <w:r w:rsidRPr="003A246D">
              <w:rPr>
                <w:lang w:val="en-US"/>
              </w:rPr>
              <w:t xml:space="preserve"> </w:t>
            </w:r>
          </w:p>
        </w:tc>
      </w:tr>
      <w:tr w:rsidR="003A246D" w:rsidTr="003A246D">
        <w:trPr>
          <w:tblCellSpacing w:w="7" w:type="dxa"/>
        </w:trPr>
        <w:tc>
          <w:tcPr>
            <w:tcW w:w="0" w:type="auto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notranslate"/>
              </w:rPr>
              <w:t>Lithium-ion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3A246D" w:rsidRPr="003A246D" w:rsidRDefault="003A246D">
            <w:pPr>
              <w:pStyle w:val="a3"/>
              <w:jc w:val="center"/>
              <w:rPr>
                <w:lang w:val="en-US"/>
              </w:rPr>
            </w:pPr>
            <w:r w:rsidRPr="003A246D">
              <w:rPr>
                <w:rStyle w:val="notranslate"/>
                <w:lang w:val="en-US"/>
              </w:rPr>
              <w:t>5% in 24h, then 1–2% per month (plus 3% for safety circuit)</w:t>
            </w:r>
            <w:r w:rsidRPr="003A246D">
              <w:rPr>
                <w:lang w:val="en-US"/>
              </w:rPr>
              <w:t xml:space="preserve"> </w:t>
            </w:r>
          </w:p>
        </w:tc>
      </w:tr>
    </w:tbl>
    <w:p w:rsidR="003A246D" w:rsidRPr="00293ADA" w:rsidRDefault="003A246D" w:rsidP="003A246D">
      <w:pPr>
        <w:pStyle w:val="a3"/>
        <w:rPr>
          <w:lang w:val="en-US"/>
        </w:rPr>
      </w:pPr>
      <w:proofErr w:type="gramStart"/>
      <w:r w:rsidRPr="003A246D">
        <w:rPr>
          <w:rStyle w:val="a4"/>
          <w:lang w:val="en-US"/>
        </w:rPr>
        <w:t>Table 3: Percentage of self-discharge in years and months.</w:t>
      </w:r>
      <w:proofErr w:type="gramEnd"/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Primary batteries have considerably less self-discharge than secondary (rechargeable) batteries.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The self-discharge of all battery chemistries increases at higher temperature, and the rate typically doubles with every 10°C (18°F).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 noticeable energy loss occurs if a battery is left in a hot vehicle.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High cycle count and aging also increase self-discharge of all systems.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Nickel-metal-hydride is good for 300–400 cycles, whereas the standard nickel-cadmium lasts for over 1,000 cycles before elevated self-discharge starts interfering with performance.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self-discharge on an older nickel-based battery can get so high that the pack goes flat from leakage rather than normal use.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Under normal circumstances the self-discharge of Li-ion is reasonably steady throughout its service life;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however, full state-of-charge and elevated temperature cause an increase.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These same factors also affect longevity.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Furthermore, a fully charged Li-ion is more prone to failure than one that is partially charged.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Table 4 shows the self-discharge per month of Li-ion at various temperatures and state-of-charge.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high self-discharge at full state-of-charge and high temperatures comes as a surprise.</w:t>
      </w:r>
      <w:r w:rsidRPr="003A246D">
        <w:rPr>
          <w:lang w:val="en-US"/>
        </w:rPr>
        <w:t xml:space="preserve">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070"/>
        <w:gridCol w:w="2070"/>
        <w:gridCol w:w="2070"/>
        <w:gridCol w:w="2070"/>
      </w:tblGrid>
      <w:tr w:rsidR="003A246D" w:rsidTr="003A246D">
        <w:trPr>
          <w:tblCellSpacing w:w="0" w:type="dxa"/>
        </w:trPr>
        <w:tc>
          <w:tcPr>
            <w:tcW w:w="2070" w:type="dxa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a4"/>
              </w:rPr>
              <w:t>State-of-charge</w:t>
            </w:r>
            <w:proofErr w:type="spellEnd"/>
            <w: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a4"/>
              </w:rPr>
              <w:t>0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C (32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F)</w:t>
            </w:r>
            <w: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a4"/>
              </w:rPr>
              <w:t>25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C (77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F)</w:t>
            </w:r>
            <w:r>
              <w:t xml:space="preserve"> </w:t>
            </w:r>
          </w:p>
        </w:tc>
        <w:tc>
          <w:tcPr>
            <w:tcW w:w="2070" w:type="dxa"/>
            <w:shd w:val="clear" w:color="auto" w:fill="CCCCCC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a4"/>
              </w:rPr>
              <w:t>60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C (140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°</w:t>
            </w:r>
            <w:r>
              <w:rPr>
                <w:rStyle w:val="notranslate"/>
              </w:rPr>
              <w:t xml:space="preserve"> </w:t>
            </w:r>
            <w:r>
              <w:rPr>
                <w:rStyle w:val="a4"/>
              </w:rPr>
              <w:t>F)</w:t>
            </w:r>
            <w:r>
              <w:t xml:space="preserve"> </w:t>
            </w:r>
          </w:p>
        </w:tc>
      </w:tr>
      <w:tr w:rsidR="003A246D" w:rsidTr="003A246D">
        <w:trPr>
          <w:tblCellSpacing w:w="0" w:type="dxa"/>
        </w:trPr>
        <w:tc>
          <w:tcPr>
            <w:tcW w:w="2070" w:type="dxa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proofErr w:type="spellStart"/>
            <w:r>
              <w:rPr>
                <w:rStyle w:val="a4"/>
              </w:rPr>
              <w:t>Full</w:t>
            </w:r>
            <w:proofErr w:type="spellEnd"/>
            <w:r>
              <w:rPr>
                <w:rStyle w:val="a4"/>
              </w:rPr>
              <w:t xml:space="preserve"> </w:t>
            </w:r>
            <w:proofErr w:type="spellStart"/>
            <w:r>
              <w:rPr>
                <w:rStyle w:val="a4"/>
              </w:rPr>
              <w:t>charge</w:t>
            </w:r>
            <w:proofErr w:type="spellEnd"/>
            <w:r>
              <w:t xml:space="preserve"> </w:t>
            </w:r>
          </w:p>
          <w:p w:rsidR="003A246D" w:rsidRDefault="003A246D">
            <w:pPr>
              <w:pStyle w:val="a3"/>
              <w:jc w:val="center"/>
            </w:pPr>
            <w:r>
              <w:rPr>
                <w:rStyle w:val="a4"/>
              </w:rPr>
              <w:t xml:space="preserve">40–60% </w:t>
            </w:r>
            <w:proofErr w:type="spellStart"/>
            <w:r>
              <w:rPr>
                <w:rStyle w:val="a4"/>
              </w:rPr>
              <w:t>charge</w:t>
            </w:r>
            <w:proofErr w:type="spellEnd"/>
            <w:r>
              <w:t xml:space="preserve">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6%</w:t>
            </w:r>
            <w:r>
              <w:t xml:space="preserve"> </w:t>
            </w:r>
          </w:p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2%</w:t>
            </w:r>
            <w:r>
              <w:t xml:space="preserve">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20%</w:t>
            </w:r>
            <w:r>
              <w:t xml:space="preserve"> </w:t>
            </w:r>
          </w:p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4%</w:t>
            </w:r>
            <w:r>
              <w:t xml:space="preserve"> </w:t>
            </w:r>
          </w:p>
        </w:tc>
        <w:tc>
          <w:tcPr>
            <w:tcW w:w="2070" w:type="dxa"/>
            <w:shd w:val="clear" w:color="auto" w:fill="E8E8E8"/>
            <w:vAlign w:val="center"/>
            <w:hideMark/>
          </w:tcPr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35%</w:t>
            </w:r>
            <w:r>
              <w:t xml:space="preserve"> </w:t>
            </w:r>
          </w:p>
          <w:p w:rsidR="003A246D" w:rsidRDefault="003A246D">
            <w:pPr>
              <w:pStyle w:val="a3"/>
              <w:jc w:val="center"/>
            </w:pPr>
            <w:r>
              <w:rPr>
                <w:rStyle w:val="notranslate"/>
              </w:rPr>
              <w:t>15%</w:t>
            </w:r>
            <w:r>
              <w:t xml:space="preserve"> </w:t>
            </w:r>
          </w:p>
        </w:tc>
      </w:tr>
    </w:tbl>
    <w:p w:rsidR="003A246D" w:rsidRPr="003A246D" w:rsidRDefault="003A246D" w:rsidP="003A246D">
      <w:pPr>
        <w:pStyle w:val="a3"/>
        <w:rPr>
          <w:lang w:val="en-US"/>
        </w:rPr>
      </w:pPr>
      <w:r w:rsidRPr="003A246D">
        <w:rPr>
          <w:rStyle w:val="a4"/>
          <w:lang w:val="en-US"/>
        </w:rPr>
        <w:t>Table 4: Self-discharge per month of Li-ion at various temperatures and state-of-charge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 xml:space="preserve">Self-discharge increases with rising temperature and higher </w:t>
      </w:r>
      <w:proofErr w:type="spellStart"/>
      <w:r w:rsidRPr="003A246D">
        <w:rPr>
          <w:rStyle w:val="notranslate"/>
          <w:lang w:val="en-US"/>
        </w:rPr>
        <w:t>SoC.</w:t>
      </w:r>
      <w:proofErr w:type="spellEnd"/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Lithium-ion should not be discharged below 2.50V/cell.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protection circuit turns off and most chargers will not charge the battery in that state.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 “boost” program applying a gentle charge current to wake up the protection circuit often restores the battery to full capacity.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There are reasons why Li-ion is put to sleep when discharging below 2.50V/cell.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Copper dendrites grow if the cell is allowed to dwell in a low-voltage state for longer than a week.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This results in elevated self-discharge, which could compromise safety.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Self-discharge mechanisms must also be observed in manufacturing.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They vary from corrosion to impurities in the electrodes that reflect in self-discharge variations not only from batch to batch but also form cell to cell.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A quality manufacturer checks the self-discharge of each cell and rejects those that fall outside tolerances.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Figure 5 compares the self-discharge of a new Li-ion cell with a cell that underwent forced deep discharges and one that was fully discharged, shorted for 14 days and then recharged.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cell that was exposed to deep discharges beyond 2.50V/cell shows a slightly higher self-discharge than a new cell.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The largest self-discharge is visible with the cell that was stored at zero volts.</w:t>
      </w:r>
      <w:r w:rsidRPr="003A246D">
        <w:rPr>
          <w:lang w:val="en-US"/>
        </w:rPr>
        <w:t xml:space="preserve"> </w:t>
      </w:r>
    </w:p>
    <w:p w:rsidR="003A246D" w:rsidRPr="003A246D" w:rsidRDefault="003A246D" w:rsidP="003A246D">
      <w:pPr>
        <w:pStyle w:val="a3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429250" cy="3124200"/>
            <wp:effectExtent l="19050" t="0" r="0" b="0"/>
            <wp:docPr id="6" name="Рисунок 3" descr="Self Discharge of Li-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f Discharge of Li-io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246D">
        <w:rPr>
          <w:lang w:val="en-US"/>
        </w:rPr>
        <w:br/>
      </w:r>
      <w:r w:rsidRPr="003A246D">
        <w:rPr>
          <w:rStyle w:val="a4"/>
          <w:lang w:val="en-US"/>
        </w:rPr>
        <w:t>Figure 5: Self-discharge of new and stressed Li-ion cells.</w:t>
      </w:r>
      <w:r w:rsidRPr="003A246D">
        <w:rPr>
          <w:lang w:val="en-US"/>
        </w:rPr>
        <w:t xml:space="preserve"> </w:t>
      </w:r>
      <w:r w:rsidRPr="003A246D">
        <w:rPr>
          <w:rStyle w:val="a4"/>
          <w:lang w:val="en-US"/>
        </w:rPr>
        <w:t> 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Cells that had been stressed with deep discharges and kept at 0V show a higher self-discharge than a new cell.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rStyle w:val="notranslate"/>
          <w:vertAlign w:val="superscript"/>
          <w:lang w:val="en-US"/>
        </w:rPr>
        <w:t xml:space="preserve">Source: TU </w:t>
      </w:r>
      <w:proofErr w:type="spellStart"/>
      <w:r w:rsidRPr="003A246D">
        <w:rPr>
          <w:rStyle w:val="notranslate"/>
          <w:vertAlign w:val="superscript"/>
          <w:lang w:val="en-US"/>
        </w:rPr>
        <w:t>München</w:t>
      </w:r>
      <w:proofErr w:type="spellEnd"/>
      <w:r w:rsidRPr="003A246D">
        <w:rPr>
          <w:lang w:val="en-US"/>
        </w:rPr>
        <w:t xml:space="preserve"> </w:t>
      </w:r>
    </w:p>
    <w:p w:rsidR="003A246D" w:rsidRPr="003A246D" w:rsidRDefault="003A246D" w:rsidP="003A246D">
      <w:pPr>
        <w:pStyle w:val="a3"/>
        <w:rPr>
          <w:lang w:val="en-US"/>
        </w:rPr>
      </w:pP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>Figure 6 illustrates the self-discharge of a lead acid battery at different ambient temperatures At a room temperature of 20°C (68°F), the self-discharge is roughly 3% per month and the battery can theoretically be stored of 12 months without recharge.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With a warm temperature of 30°C (86°F), the self-discharge increases and a recharge will be needed after 6 months.</w:t>
      </w:r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 xml:space="preserve">Letting the battery drop below 60 percent </w:t>
      </w:r>
      <w:proofErr w:type="spellStart"/>
      <w:r w:rsidRPr="003A246D">
        <w:rPr>
          <w:rStyle w:val="notranslate"/>
          <w:lang w:val="en-US"/>
        </w:rPr>
        <w:t>SoC</w:t>
      </w:r>
      <w:proofErr w:type="spellEnd"/>
      <w:r w:rsidRPr="003A246D">
        <w:rPr>
          <w:rStyle w:val="notranslate"/>
          <w:lang w:val="en-US"/>
        </w:rPr>
        <w:t xml:space="preserve"> for some time causes </w:t>
      </w:r>
      <w:hyperlink r:id="rId9" w:history="1">
        <w:proofErr w:type="spellStart"/>
        <w:r w:rsidRPr="003A246D">
          <w:rPr>
            <w:rStyle w:val="notranslate"/>
            <w:lang w:val="en-US"/>
          </w:rPr>
          <w:t>sulfation</w:t>
        </w:r>
        <w:proofErr w:type="spellEnd"/>
      </w:hyperlink>
      <w:r w:rsidRPr="003A246D">
        <w:rPr>
          <w:rStyle w:val="notranslate"/>
          <w:lang w:val="en-US"/>
        </w:rPr>
        <w:t xml:space="preserve"> .</w:t>
      </w:r>
      <w:r w:rsidRPr="003A246D">
        <w:rPr>
          <w:lang w:val="en-US"/>
        </w:rPr>
        <w:t xml:space="preserve"> </w:t>
      </w:r>
    </w:p>
    <w:p w:rsidR="003A246D" w:rsidRDefault="003A246D" w:rsidP="003A246D">
      <w:pPr>
        <w:pStyle w:val="a3"/>
      </w:pPr>
      <w:r>
        <w:rPr>
          <w:noProof/>
        </w:rPr>
        <w:drawing>
          <wp:inline distT="0" distB="0" distL="0" distR="0">
            <wp:extent cx="5429250" cy="2867025"/>
            <wp:effectExtent l="19050" t="0" r="0" b="0"/>
            <wp:docPr id="5" name="Рисунок 4" descr="Sto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r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246D">
        <w:rPr>
          <w:lang w:val="en-US"/>
        </w:rPr>
        <w:br/>
      </w:r>
      <w:r w:rsidRPr="003A246D">
        <w:rPr>
          <w:rStyle w:val="a4"/>
          <w:lang w:val="en-US"/>
        </w:rPr>
        <w:t>Figure 6: Self-discharge of lead acid as a function of temperature.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r w:rsidRPr="003A246D">
        <w:rPr>
          <w:rStyle w:val="notranslate"/>
          <w:lang w:val="en-US"/>
        </w:rPr>
        <w:t xml:space="preserve">Lead acid should never drop below 60% </w:t>
      </w:r>
      <w:proofErr w:type="spellStart"/>
      <w:r w:rsidRPr="003A246D">
        <w:rPr>
          <w:rStyle w:val="notranslate"/>
          <w:lang w:val="en-US"/>
        </w:rPr>
        <w:t>SoC.</w:t>
      </w:r>
      <w:proofErr w:type="spellEnd"/>
      <w:r w:rsidRPr="003A246D">
        <w:rPr>
          <w:lang w:val="en-US"/>
        </w:rPr>
        <w:t xml:space="preserve"> </w:t>
      </w:r>
      <w:r w:rsidRPr="003A246D">
        <w:rPr>
          <w:rStyle w:val="notranslate"/>
          <w:lang w:val="en-US"/>
        </w:rPr>
        <w:t>Charge more often when warm.</w:t>
      </w:r>
      <w:r w:rsidRPr="003A246D">
        <w:rPr>
          <w:lang w:val="en-US"/>
        </w:rPr>
        <w:t xml:space="preserve"> </w:t>
      </w:r>
      <w:r w:rsidRPr="003A246D">
        <w:rPr>
          <w:lang w:val="en-US"/>
        </w:rPr>
        <w:br/>
      </w:r>
      <w:proofErr w:type="spellStart"/>
      <w:r>
        <w:rPr>
          <w:rStyle w:val="notranslate"/>
          <w:vertAlign w:val="superscript"/>
        </w:rPr>
        <w:t>Source</w:t>
      </w:r>
      <w:proofErr w:type="spellEnd"/>
      <w:r>
        <w:rPr>
          <w:rStyle w:val="notranslate"/>
          <w:vertAlign w:val="superscript"/>
        </w:rPr>
        <w:t xml:space="preserve">: </w:t>
      </w:r>
      <w:proofErr w:type="spellStart"/>
      <w:r>
        <w:rPr>
          <w:rStyle w:val="notranslate"/>
          <w:vertAlign w:val="superscript"/>
        </w:rPr>
        <w:t>Power-Sonic</w:t>
      </w:r>
      <w:proofErr w:type="spellEnd"/>
      <w:r>
        <w:t xml:space="preserve"> </w:t>
      </w:r>
    </w:p>
    <w:p w:rsidR="003A246D" w:rsidRDefault="003A246D" w:rsidP="003A246D">
      <w:pPr>
        <w:pStyle w:val="a3"/>
      </w:pPr>
      <w:proofErr w:type="spellStart"/>
      <w:r>
        <w:rPr>
          <w:rStyle w:val="notranslate"/>
        </w:rPr>
        <w:t>Last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Updated</w:t>
      </w:r>
      <w:proofErr w:type="spellEnd"/>
      <w:r>
        <w:rPr>
          <w:rStyle w:val="notranslate"/>
        </w:rPr>
        <w:t xml:space="preserve"> 2017-04-04</w:t>
      </w:r>
      <w:r>
        <w:t xml:space="preserve"> </w:t>
      </w:r>
    </w:p>
    <w:p w:rsidR="00674831" w:rsidRDefault="00293ADA"/>
    <w:sectPr w:rsidR="00674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E15C0"/>
    <w:rsid w:val="00105458"/>
    <w:rsid w:val="001A6DBB"/>
    <w:rsid w:val="00200C7C"/>
    <w:rsid w:val="00293ADA"/>
    <w:rsid w:val="003A246D"/>
    <w:rsid w:val="00713986"/>
    <w:rsid w:val="007306EC"/>
    <w:rsid w:val="007621EB"/>
    <w:rsid w:val="008C56BE"/>
    <w:rsid w:val="00AE15C0"/>
    <w:rsid w:val="00B147DC"/>
    <w:rsid w:val="00B150B6"/>
    <w:rsid w:val="00C85CD0"/>
    <w:rsid w:val="00CF47B2"/>
    <w:rsid w:val="00D06711"/>
    <w:rsid w:val="00D4651B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AE15C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5C0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notranslate">
    <w:name w:val="notranslate"/>
    <w:basedOn w:val="a0"/>
    <w:rsid w:val="00AE15C0"/>
  </w:style>
  <w:style w:type="paragraph" w:styleId="a3">
    <w:name w:val="Normal (Web)"/>
    <w:basedOn w:val="a"/>
    <w:uiPriority w:val="99"/>
    <w:unhideWhenUsed/>
    <w:rsid w:val="00AE15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AE15C0"/>
    <w:rPr>
      <w:b/>
      <w:bCs/>
    </w:rPr>
  </w:style>
  <w:style w:type="character" w:styleId="a5">
    <w:name w:val="Emphasis"/>
    <w:basedOn w:val="a0"/>
    <w:uiPriority w:val="20"/>
    <w:qFormat/>
    <w:rsid w:val="00AE15C0"/>
    <w:rPr>
      <w:i/>
      <w:iCs/>
    </w:rPr>
  </w:style>
  <w:style w:type="character" w:styleId="a6">
    <w:name w:val="Hyperlink"/>
    <w:basedOn w:val="a0"/>
    <w:uiPriority w:val="99"/>
    <w:semiHidden/>
    <w:unhideWhenUsed/>
    <w:rsid w:val="00AE15C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E15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translate.googleusercontent.com/translate_c?depth=1&amp;hl=ru&amp;prev=search&amp;rurl=translate.google.com.ua&amp;sl=en&amp;sp=nmt4&amp;u=http://batteryuniversity.com/learn/article/sulfation_and_how_to_prevent_it&amp;usg=ALkJrhjc09GHykqrNk5pGqgDMLVYXSC37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translate.googleusercontent.com/translate_c?anno=2&amp;depth=1&amp;hl=ru&amp;rurl=translate.google.com.ua&amp;sl=en&amp;sp=nmt4&amp;tl=ru&amp;u=http://batteryuniversity.com/learn/article/sulfation_and_how_to_prevent_it&amp;usg=ALkJrhjra80AC6vLGvnWkl4d6d2tlSGW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2083</Words>
  <Characters>11878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2017-10-08T18:39:00Z</dcterms:created>
  <dcterms:modified xsi:type="dcterms:W3CDTF">2017-10-10T17:47:00Z</dcterms:modified>
</cp:coreProperties>
</file>