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E13" w:rsidRPr="00354302" w:rsidRDefault="00CE5E13" w:rsidP="00CE5E13">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B11231" w:rsidRPr="00B11231" w:rsidRDefault="00B11231" w:rsidP="00B11231">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B11231">
        <w:rPr>
          <w:rFonts w:ascii="Times New Roman" w:eastAsia="Times New Roman" w:hAnsi="Times New Roman" w:cs="Times New Roman"/>
          <w:b/>
          <w:bCs/>
          <w:kern w:val="36"/>
          <w:sz w:val="48"/>
          <w:szCs w:val="48"/>
          <w:lang w:val="ru-RU" w:eastAsia="ru-RU"/>
        </w:rPr>
        <w:t xml:space="preserve">Почему старые </w:t>
      </w:r>
      <w:proofErr w:type="spellStart"/>
      <w:proofErr w:type="gramStart"/>
      <w:r w:rsidRPr="00B11231">
        <w:rPr>
          <w:rFonts w:ascii="Times New Roman" w:eastAsia="Times New Roman" w:hAnsi="Times New Roman" w:cs="Times New Roman"/>
          <w:b/>
          <w:bCs/>
          <w:kern w:val="36"/>
          <w:sz w:val="48"/>
          <w:szCs w:val="48"/>
          <w:lang w:val="ru-RU" w:eastAsia="ru-RU"/>
        </w:rPr>
        <w:t>литий-ионные</w:t>
      </w:r>
      <w:proofErr w:type="spellEnd"/>
      <w:proofErr w:type="gramEnd"/>
      <w:r w:rsidRPr="00B11231">
        <w:rPr>
          <w:rFonts w:ascii="Times New Roman" w:eastAsia="Times New Roman" w:hAnsi="Times New Roman" w:cs="Times New Roman"/>
          <w:b/>
          <w:bCs/>
          <w:kern w:val="36"/>
          <w:sz w:val="48"/>
          <w:szCs w:val="48"/>
          <w:lang w:val="ru-RU" w:eastAsia="ru-RU"/>
        </w:rPr>
        <w:t xml:space="preserve"> батареи </w:t>
      </w:r>
      <w:r w:rsidR="00CE5E13">
        <w:rPr>
          <w:rFonts w:ascii="Times New Roman" w:eastAsia="Times New Roman" w:hAnsi="Times New Roman" w:cs="Times New Roman"/>
          <w:b/>
          <w:bCs/>
          <w:kern w:val="36"/>
          <w:sz w:val="48"/>
          <w:szCs w:val="48"/>
          <w:lang w:val="ru-RU" w:eastAsia="ru-RU"/>
        </w:rPr>
        <w:t>заряжаются долго</w:t>
      </w:r>
      <w:r w:rsidRPr="00B11231">
        <w:rPr>
          <w:rFonts w:ascii="Times New Roman" w:eastAsia="Times New Roman" w:hAnsi="Times New Roman" w:cs="Times New Roman"/>
          <w:b/>
          <w:bCs/>
          <w:kern w:val="36"/>
          <w:sz w:val="48"/>
          <w:szCs w:val="48"/>
          <w:lang w:val="ru-RU" w:eastAsia="ru-RU"/>
        </w:rPr>
        <w:t xml:space="preserve">? </w:t>
      </w:r>
    </w:p>
    <w:p w:rsidR="00B11231" w:rsidRPr="00B11231" w:rsidRDefault="00B11231" w:rsidP="00B11231">
      <w:pPr>
        <w:spacing w:before="100" w:beforeAutospacing="1" w:after="100" w:afterAutospacing="1"/>
        <w:rPr>
          <w:rFonts w:ascii="Times New Roman" w:eastAsia="Times New Roman" w:hAnsi="Times New Roman" w:cs="Times New Roman"/>
          <w:sz w:val="24"/>
          <w:szCs w:val="24"/>
          <w:lang w:val="ru-RU" w:eastAsia="ru-RU"/>
        </w:rPr>
      </w:pPr>
      <w:proofErr w:type="gramStart"/>
      <w:r w:rsidRPr="00B11231">
        <w:rPr>
          <w:rFonts w:ascii="Times New Roman" w:eastAsia="Times New Roman" w:hAnsi="Times New Roman" w:cs="Times New Roman"/>
          <w:b/>
          <w:bCs/>
          <w:sz w:val="24"/>
          <w:szCs w:val="24"/>
          <w:lang w:val="ru-RU" w:eastAsia="ru-RU"/>
        </w:rPr>
        <w:t>Подключите зарядное устройство к основным принципам работы с батареей</w:t>
      </w:r>
      <w:r w:rsidRPr="00B11231">
        <w:rPr>
          <w:rFonts w:ascii="Times New Roman" w:eastAsia="Times New Roman" w:hAnsi="Times New Roman" w:cs="Times New Roman"/>
          <w:sz w:val="24"/>
          <w:szCs w:val="24"/>
          <w:lang w:val="ru-RU" w:eastAsia="ru-RU"/>
        </w:rPr>
        <w:t xml:space="preserve">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lang w:val="ru-RU" w:eastAsia="ru-RU"/>
        </w:rPr>
        <w:br/>
        <w:t>Пользователи батарей часто спрашив</w:t>
      </w:r>
      <w:r w:rsidR="00CE5E13">
        <w:rPr>
          <w:rFonts w:ascii="Times New Roman" w:eastAsia="Times New Roman" w:hAnsi="Times New Roman" w:cs="Times New Roman"/>
          <w:sz w:val="24"/>
          <w:szCs w:val="24"/>
          <w:lang w:val="ru-RU" w:eastAsia="ru-RU"/>
        </w:rPr>
        <w:t>ают</w:t>
      </w:r>
      <w:proofErr w:type="gramEnd"/>
      <w:r w:rsidR="00CE5E13">
        <w:rPr>
          <w:rFonts w:ascii="Times New Roman" w:eastAsia="Times New Roman" w:hAnsi="Times New Roman" w:cs="Times New Roman"/>
          <w:sz w:val="24"/>
          <w:szCs w:val="24"/>
          <w:lang w:val="ru-RU" w:eastAsia="ru-RU"/>
        </w:rPr>
        <w:t xml:space="preserve">: «Почему старая </w:t>
      </w:r>
      <w:proofErr w:type="spellStart"/>
      <w:proofErr w:type="gramStart"/>
      <w:r w:rsidR="00CE5E13">
        <w:rPr>
          <w:rFonts w:ascii="Times New Roman" w:eastAsia="Times New Roman" w:hAnsi="Times New Roman" w:cs="Times New Roman"/>
          <w:sz w:val="24"/>
          <w:szCs w:val="24"/>
          <w:lang w:val="ru-RU" w:eastAsia="ru-RU"/>
        </w:rPr>
        <w:t>литий-ионная</w:t>
      </w:r>
      <w:proofErr w:type="spellEnd"/>
      <w:proofErr w:type="gramEnd"/>
      <w:r w:rsidRPr="00B11231">
        <w:rPr>
          <w:rFonts w:ascii="Times New Roman" w:eastAsia="Times New Roman" w:hAnsi="Times New Roman" w:cs="Times New Roman"/>
          <w:sz w:val="24"/>
          <w:szCs w:val="24"/>
          <w:lang w:val="ru-RU" w:eastAsia="ru-RU"/>
        </w:rPr>
        <w:t xml:space="preserve"> </w:t>
      </w:r>
      <w:r w:rsidR="00CE5E13">
        <w:rPr>
          <w:rFonts w:ascii="Times New Roman" w:eastAsia="Times New Roman" w:hAnsi="Times New Roman" w:cs="Times New Roman"/>
          <w:sz w:val="24"/>
          <w:szCs w:val="24"/>
          <w:lang w:val="ru-RU" w:eastAsia="ru-RU"/>
        </w:rPr>
        <w:t>батарея</w:t>
      </w:r>
      <w:r w:rsidRPr="00B11231">
        <w:rPr>
          <w:rFonts w:ascii="Times New Roman" w:eastAsia="Times New Roman" w:hAnsi="Times New Roman" w:cs="Times New Roman"/>
          <w:sz w:val="24"/>
          <w:szCs w:val="24"/>
          <w:lang w:val="ru-RU" w:eastAsia="ru-RU"/>
        </w:rPr>
        <w:t xml:space="preserve"> так долго заряжается?» Действительно, когда литий-ион становится старше, батарея берет свое время, чтобы зарядиться, даже если ее немного заполнить. Мы называем это «синдромом старика». На рисунке 1 показано время зарядки нового </w:t>
      </w:r>
      <w:proofErr w:type="spellStart"/>
      <w:proofErr w:type="gramStart"/>
      <w:r w:rsidRPr="00B11231">
        <w:rPr>
          <w:rFonts w:ascii="Times New Roman" w:eastAsia="Times New Roman" w:hAnsi="Times New Roman" w:cs="Times New Roman"/>
          <w:sz w:val="24"/>
          <w:szCs w:val="24"/>
          <w:lang w:val="ru-RU" w:eastAsia="ru-RU"/>
        </w:rPr>
        <w:t>литий-иона</w:t>
      </w:r>
      <w:proofErr w:type="spellEnd"/>
      <w:proofErr w:type="gramEnd"/>
      <w:r w:rsidRPr="00B11231">
        <w:rPr>
          <w:rFonts w:ascii="Times New Roman" w:eastAsia="Times New Roman" w:hAnsi="Times New Roman" w:cs="Times New Roman"/>
          <w:sz w:val="24"/>
          <w:szCs w:val="24"/>
          <w:lang w:val="ru-RU" w:eastAsia="ru-RU"/>
        </w:rPr>
        <w:t xml:space="preserve"> вместимостью 100 процентов против стареющего пакета, который обеспечивает только 82 процента. Оба берут приблизительно 150 минут, чтобы зарядить. </w:t>
      </w:r>
    </w:p>
    <w:p w:rsidR="00B11231" w:rsidRPr="00B11231" w:rsidRDefault="00B11231" w:rsidP="00B11231">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3648075"/>
            <wp:effectExtent l="19050" t="0" r="0" b="0"/>
            <wp:docPr id="1" name="Рисунок 1" descr="Рисунок 1: заряжаются новые и пожилые литий-ионные батаре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1: заряжаются новые и пожилые литий-ионные батареи."/>
                    <pic:cNvPicPr>
                      <a:picLocks noChangeAspect="1" noChangeArrowheads="1"/>
                    </pic:cNvPicPr>
                  </pic:nvPicPr>
                  <pic:blipFill>
                    <a:blip r:embed="rId5"/>
                    <a:srcRect/>
                    <a:stretch>
                      <a:fillRect/>
                    </a:stretch>
                  </pic:blipFill>
                  <pic:spPr bwMode="auto">
                    <a:xfrm>
                      <a:off x="0" y="0"/>
                      <a:ext cx="5429250" cy="3648075"/>
                    </a:xfrm>
                    <a:prstGeom prst="rect">
                      <a:avLst/>
                    </a:prstGeom>
                    <a:noFill/>
                    <a:ln w="9525">
                      <a:noFill/>
                      <a:miter lim="800000"/>
                      <a:headEnd/>
                      <a:tailEnd/>
                    </a:ln>
                  </pic:spPr>
                </pic:pic>
              </a:graphicData>
            </a:graphic>
          </wp:inline>
        </w:drawing>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b/>
          <w:bCs/>
          <w:sz w:val="24"/>
          <w:szCs w:val="24"/>
          <w:lang w:val="ru-RU" w:eastAsia="ru-RU"/>
        </w:rPr>
        <w:t xml:space="preserve">Рисунок 1: заряжаются новые и пожилые </w:t>
      </w:r>
      <w:proofErr w:type="spellStart"/>
      <w:proofErr w:type="gramStart"/>
      <w:r w:rsidRPr="00B11231">
        <w:rPr>
          <w:rFonts w:ascii="Times New Roman" w:eastAsia="Times New Roman" w:hAnsi="Times New Roman" w:cs="Times New Roman"/>
          <w:b/>
          <w:bCs/>
          <w:sz w:val="24"/>
          <w:szCs w:val="24"/>
          <w:lang w:val="ru-RU" w:eastAsia="ru-RU"/>
        </w:rPr>
        <w:t>литий-ионные</w:t>
      </w:r>
      <w:proofErr w:type="spellEnd"/>
      <w:proofErr w:type="gramEnd"/>
      <w:r w:rsidRPr="00B11231">
        <w:rPr>
          <w:rFonts w:ascii="Times New Roman" w:eastAsia="Times New Roman" w:hAnsi="Times New Roman" w:cs="Times New Roman"/>
          <w:b/>
          <w:bCs/>
          <w:sz w:val="24"/>
          <w:szCs w:val="24"/>
          <w:lang w:val="ru-RU" w:eastAsia="ru-RU"/>
        </w:rPr>
        <w:t xml:space="preserve"> батареи.</w:t>
      </w:r>
      <w:r w:rsidRPr="00B11231">
        <w:rPr>
          <w:rFonts w:ascii="Times New Roman" w:eastAsia="Times New Roman" w:hAnsi="Times New Roman" w:cs="Times New Roman"/>
          <w:sz w:val="24"/>
          <w:szCs w:val="24"/>
          <w:lang w:val="ru-RU" w:eastAsia="ru-RU"/>
        </w:rPr>
        <w:t xml:space="preserve"> </w:t>
      </w:r>
      <w:r w:rsidRPr="00B11231">
        <w:rPr>
          <w:rFonts w:ascii="Times New Roman" w:eastAsia="Times New Roman" w:hAnsi="Times New Roman" w:cs="Times New Roman"/>
          <w:sz w:val="24"/>
          <w:szCs w:val="24"/>
          <w:lang w:val="ru-RU" w:eastAsia="ru-RU"/>
        </w:rPr>
        <w:br/>
        <w:t xml:space="preserve">Оба пакета берут приблизительно 150 минут для зарядки. Новый пакет заряжается до 1400 </w:t>
      </w:r>
      <w:proofErr w:type="spellStart"/>
      <w:r w:rsidRPr="00B11231">
        <w:rPr>
          <w:rFonts w:ascii="Times New Roman" w:eastAsia="Times New Roman" w:hAnsi="Times New Roman" w:cs="Times New Roman"/>
          <w:sz w:val="24"/>
          <w:szCs w:val="24"/>
          <w:lang w:val="ru-RU" w:eastAsia="ru-RU"/>
        </w:rPr>
        <w:t>мАч</w:t>
      </w:r>
      <w:proofErr w:type="spellEnd"/>
      <w:r w:rsidRPr="00B11231">
        <w:rPr>
          <w:rFonts w:ascii="Times New Roman" w:eastAsia="Times New Roman" w:hAnsi="Times New Roman" w:cs="Times New Roman"/>
          <w:sz w:val="24"/>
          <w:szCs w:val="24"/>
          <w:lang w:val="ru-RU" w:eastAsia="ru-RU"/>
        </w:rPr>
        <w:t xml:space="preserve"> (100%), в то время как пожилой человек идет только до 1 150 </w:t>
      </w:r>
      <w:proofErr w:type="spellStart"/>
      <w:r w:rsidRPr="00B11231">
        <w:rPr>
          <w:rFonts w:ascii="Times New Roman" w:eastAsia="Times New Roman" w:hAnsi="Times New Roman" w:cs="Times New Roman"/>
          <w:sz w:val="24"/>
          <w:szCs w:val="24"/>
          <w:lang w:val="ru-RU" w:eastAsia="ru-RU"/>
        </w:rPr>
        <w:t>мАч</w:t>
      </w:r>
      <w:proofErr w:type="spellEnd"/>
      <w:r w:rsidRPr="00B11231">
        <w:rPr>
          <w:rFonts w:ascii="Times New Roman" w:eastAsia="Times New Roman" w:hAnsi="Times New Roman" w:cs="Times New Roman"/>
          <w:sz w:val="24"/>
          <w:szCs w:val="24"/>
          <w:lang w:val="ru-RU" w:eastAsia="ru-RU"/>
        </w:rPr>
        <w:t xml:space="preserve"> (82%).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vertAlign w:val="superscript"/>
          <w:lang w:val="ru-RU" w:eastAsia="ru-RU"/>
        </w:rPr>
        <w:t xml:space="preserve">Предоставлено: </w:t>
      </w:r>
      <w:proofErr w:type="spellStart"/>
      <w:r w:rsidRPr="00B11231">
        <w:rPr>
          <w:rFonts w:ascii="Times New Roman" w:eastAsia="Times New Roman" w:hAnsi="Times New Roman" w:cs="Times New Roman"/>
          <w:sz w:val="24"/>
          <w:szCs w:val="24"/>
          <w:vertAlign w:val="superscript"/>
          <w:lang w:val="ru-RU" w:eastAsia="ru-RU"/>
        </w:rPr>
        <w:t>Cadex</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Electronics</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Inc</w:t>
      </w:r>
      <w:proofErr w:type="spellEnd"/>
      <w:r w:rsidRPr="00B11231">
        <w:rPr>
          <w:rFonts w:ascii="Times New Roman" w:eastAsia="Times New Roman" w:hAnsi="Times New Roman" w:cs="Times New Roman"/>
          <w:sz w:val="24"/>
          <w:szCs w:val="24"/>
          <w:vertAlign w:val="superscript"/>
          <w:lang w:val="ru-RU" w:eastAsia="ru-RU"/>
        </w:rPr>
        <w:t>.</w:t>
      </w:r>
      <w:r w:rsidRPr="00B11231">
        <w:rPr>
          <w:rFonts w:ascii="Times New Roman" w:eastAsia="Times New Roman" w:hAnsi="Times New Roman" w:cs="Times New Roman"/>
          <w:sz w:val="24"/>
          <w:szCs w:val="24"/>
          <w:lang w:val="ru-RU" w:eastAsia="ru-RU"/>
        </w:rPr>
        <w:t xml:space="preserve"> </w:t>
      </w:r>
    </w:p>
    <w:p w:rsidR="00B11231" w:rsidRPr="00B11231" w:rsidRDefault="00B11231" w:rsidP="00B11231">
      <w:pPr>
        <w:spacing w:before="100" w:beforeAutospacing="1" w:after="100" w:afterAutospacing="1"/>
        <w:rPr>
          <w:rFonts w:ascii="Times New Roman" w:eastAsia="Times New Roman" w:hAnsi="Times New Roman" w:cs="Times New Roman"/>
          <w:sz w:val="24"/>
          <w:szCs w:val="24"/>
          <w:lang w:val="ru-RU" w:eastAsia="ru-RU"/>
        </w:rPr>
      </w:pPr>
      <w:r w:rsidRPr="00B11231">
        <w:rPr>
          <w:rFonts w:ascii="Times New Roman" w:eastAsia="Times New Roman" w:hAnsi="Times New Roman" w:cs="Times New Roman"/>
          <w:sz w:val="24"/>
          <w:szCs w:val="24"/>
          <w:lang w:val="ru-RU" w:eastAsia="ru-RU"/>
        </w:rPr>
        <w:br/>
        <w:t xml:space="preserve">При </w:t>
      </w:r>
      <w:r w:rsidR="00D7364D">
        <w:rPr>
          <w:rFonts w:ascii="Times New Roman" w:eastAsia="Times New Roman" w:hAnsi="Times New Roman" w:cs="Times New Roman"/>
          <w:sz w:val="24"/>
          <w:szCs w:val="24"/>
          <w:lang w:val="ru-RU" w:eastAsia="ru-RU"/>
        </w:rPr>
        <w:t xml:space="preserve">зарядке </w:t>
      </w:r>
      <w:proofErr w:type="spellStart"/>
      <w:proofErr w:type="gramStart"/>
      <w:r w:rsidR="00D7364D">
        <w:rPr>
          <w:rFonts w:ascii="Times New Roman" w:eastAsia="Times New Roman" w:hAnsi="Times New Roman" w:cs="Times New Roman"/>
          <w:sz w:val="24"/>
          <w:szCs w:val="24"/>
          <w:lang w:val="ru-RU" w:eastAsia="ru-RU"/>
        </w:rPr>
        <w:t>литий-ионного</w:t>
      </w:r>
      <w:proofErr w:type="spellEnd"/>
      <w:proofErr w:type="gramEnd"/>
      <w:r w:rsidR="00D7364D">
        <w:rPr>
          <w:rFonts w:ascii="Times New Roman" w:eastAsia="Times New Roman" w:hAnsi="Times New Roman" w:cs="Times New Roman"/>
          <w:sz w:val="24"/>
          <w:szCs w:val="24"/>
          <w:lang w:val="ru-RU" w:eastAsia="ru-RU"/>
        </w:rPr>
        <w:t>,</w:t>
      </w:r>
      <w:r w:rsidRPr="00B11231">
        <w:rPr>
          <w:rFonts w:ascii="Times New Roman" w:eastAsia="Times New Roman" w:hAnsi="Times New Roman" w:cs="Times New Roman"/>
          <w:sz w:val="24"/>
          <w:szCs w:val="24"/>
          <w:lang w:val="ru-RU" w:eastAsia="ru-RU"/>
        </w:rPr>
        <w:t xml:space="preserve"> напряжение снимается подобно подъему веса с резиновой лентой. Новая упаковка, показанная на рисунке 2, «голодна» и может принимать более «пищу» до достижения предела напряжения 4.20V / </w:t>
      </w:r>
      <w:proofErr w:type="spellStart"/>
      <w:r w:rsidRPr="00B11231">
        <w:rPr>
          <w:rFonts w:ascii="Times New Roman" w:eastAsia="Times New Roman" w:hAnsi="Times New Roman" w:cs="Times New Roman"/>
          <w:sz w:val="24"/>
          <w:szCs w:val="24"/>
          <w:lang w:val="ru-RU" w:eastAsia="ru-RU"/>
        </w:rPr>
        <w:t>cell</w:t>
      </w:r>
      <w:proofErr w:type="spellEnd"/>
      <w:r w:rsidRPr="00B11231">
        <w:rPr>
          <w:rFonts w:ascii="Times New Roman" w:eastAsia="Times New Roman" w:hAnsi="Times New Roman" w:cs="Times New Roman"/>
          <w:sz w:val="24"/>
          <w:szCs w:val="24"/>
          <w:lang w:val="ru-RU" w:eastAsia="ru-RU"/>
        </w:rPr>
        <w:t xml:space="preserve"> по сравнению со старым </w:t>
      </w:r>
      <w:proofErr w:type="spellStart"/>
      <w:r w:rsidRPr="00B11231">
        <w:rPr>
          <w:rFonts w:ascii="Times New Roman" w:eastAsia="Times New Roman" w:hAnsi="Times New Roman" w:cs="Times New Roman"/>
          <w:sz w:val="24"/>
          <w:szCs w:val="24"/>
          <w:lang w:val="ru-RU" w:eastAsia="ru-RU"/>
        </w:rPr>
        <w:t>литий-ионом</w:t>
      </w:r>
      <w:proofErr w:type="spellEnd"/>
      <w:r w:rsidRPr="00B11231">
        <w:rPr>
          <w:rFonts w:ascii="Times New Roman" w:eastAsia="Times New Roman" w:hAnsi="Times New Roman" w:cs="Times New Roman"/>
          <w:sz w:val="24"/>
          <w:szCs w:val="24"/>
          <w:lang w:val="ru-RU" w:eastAsia="ru-RU"/>
        </w:rPr>
        <w:t>, который достигает предела V на этапе 1 после примерно 60 минут</w:t>
      </w:r>
      <w:proofErr w:type="gramStart"/>
      <w:r w:rsidRPr="00B11231">
        <w:rPr>
          <w:rFonts w:ascii="Times New Roman" w:eastAsia="Times New Roman" w:hAnsi="Times New Roman" w:cs="Times New Roman"/>
          <w:sz w:val="24"/>
          <w:szCs w:val="24"/>
          <w:lang w:val="ru-RU" w:eastAsia="ru-RU"/>
        </w:rPr>
        <w:t>.</w:t>
      </w:r>
      <w:proofErr w:type="gramEnd"/>
      <w:r w:rsidRPr="00B11231">
        <w:rPr>
          <w:rFonts w:ascii="Times New Roman" w:eastAsia="Times New Roman" w:hAnsi="Times New Roman" w:cs="Times New Roman"/>
          <w:sz w:val="24"/>
          <w:szCs w:val="24"/>
          <w:lang w:val="ru-RU" w:eastAsia="ru-RU"/>
        </w:rPr>
        <w:t xml:space="preserve"> </w:t>
      </w:r>
      <w:proofErr w:type="gramStart"/>
      <w:r w:rsidRPr="00B11231">
        <w:rPr>
          <w:rFonts w:ascii="Times New Roman" w:eastAsia="Times New Roman" w:hAnsi="Times New Roman" w:cs="Times New Roman"/>
          <w:sz w:val="24"/>
          <w:szCs w:val="24"/>
          <w:lang w:val="ru-RU" w:eastAsia="ru-RU"/>
        </w:rPr>
        <w:t>т</w:t>
      </w:r>
      <w:proofErr w:type="gramEnd"/>
      <w:r w:rsidRPr="00B11231">
        <w:rPr>
          <w:rFonts w:ascii="Times New Roman" w:eastAsia="Times New Roman" w:hAnsi="Times New Roman" w:cs="Times New Roman"/>
          <w:sz w:val="24"/>
          <w:szCs w:val="24"/>
          <w:lang w:val="ru-RU" w:eastAsia="ru-RU"/>
        </w:rPr>
        <w:t xml:space="preserve">ермины аналогии с резиновой лентой, у новой батареи меньше слабины, чем на старую упаковку, и она может принимать заряд дольше, прежде чем перейти в насыщение.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lang w:val="ru-RU" w:eastAsia="ru-RU"/>
        </w:rPr>
        <w:br/>
      </w:r>
      <w:r>
        <w:rPr>
          <w:rFonts w:ascii="Times New Roman" w:eastAsia="Times New Roman" w:hAnsi="Times New Roman" w:cs="Times New Roman"/>
          <w:noProof/>
          <w:sz w:val="24"/>
          <w:szCs w:val="24"/>
          <w:lang w:val="ru-RU" w:eastAsia="ru-RU"/>
        </w:rPr>
        <w:lastRenderedPageBreak/>
        <w:drawing>
          <wp:inline distT="0" distB="0" distL="0" distR="0">
            <wp:extent cx="5429250" cy="3648075"/>
            <wp:effectExtent l="19050" t="0" r="0" b="0"/>
            <wp:docPr id="2" name="Рисунок 2" descr="Рисунок 2: Наблюдение за временем заряда нового и стареющего Li-иона на этап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унок 2: Наблюдение за временем заряда нового и стареющего Li-иона на этапе 1."/>
                    <pic:cNvPicPr>
                      <a:picLocks noChangeAspect="1" noChangeArrowheads="1"/>
                    </pic:cNvPicPr>
                  </pic:nvPicPr>
                  <pic:blipFill>
                    <a:blip r:embed="rId6"/>
                    <a:srcRect/>
                    <a:stretch>
                      <a:fillRect/>
                    </a:stretch>
                  </pic:blipFill>
                  <pic:spPr bwMode="auto">
                    <a:xfrm>
                      <a:off x="0" y="0"/>
                      <a:ext cx="5429250" cy="3648075"/>
                    </a:xfrm>
                    <a:prstGeom prst="rect">
                      <a:avLst/>
                    </a:prstGeom>
                    <a:noFill/>
                    <a:ln w="9525">
                      <a:noFill/>
                      <a:miter lim="800000"/>
                      <a:headEnd/>
                      <a:tailEnd/>
                    </a:ln>
                  </pic:spPr>
                </pic:pic>
              </a:graphicData>
            </a:graphic>
          </wp:inline>
        </w:drawing>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b/>
          <w:bCs/>
          <w:sz w:val="24"/>
          <w:szCs w:val="24"/>
          <w:lang w:val="ru-RU" w:eastAsia="ru-RU"/>
        </w:rPr>
        <w:t>Рисунок 2: Наблюдение за временем заряда нового и стареющего Li-иона на этапе 1.</w:t>
      </w:r>
      <w:r w:rsidRPr="00B11231">
        <w:rPr>
          <w:rFonts w:ascii="Times New Roman" w:eastAsia="Times New Roman" w:hAnsi="Times New Roman" w:cs="Times New Roman"/>
          <w:sz w:val="24"/>
          <w:szCs w:val="24"/>
          <w:lang w:val="ru-RU" w:eastAsia="ru-RU"/>
        </w:rPr>
        <w:t xml:space="preserve"> </w:t>
      </w:r>
      <w:r w:rsidRPr="00B11231">
        <w:rPr>
          <w:rFonts w:ascii="Times New Roman" w:eastAsia="Times New Roman" w:hAnsi="Times New Roman" w:cs="Times New Roman"/>
          <w:sz w:val="24"/>
          <w:szCs w:val="24"/>
          <w:lang w:val="ru-RU" w:eastAsia="ru-RU"/>
        </w:rPr>
        <w:br/>
        <w:t>Новый литий-ион полностью заряжается в течение 90 минут, в то время как пожилая клетка достигает 4,20</w:t>
      </w:r>
      <w:proofErr w:type="gramStart"/>
      <w:r w:rsidRPr="00B11231">
        <w:rPr>
          <w:rFonts w:ascii="Times New Roman" w:eastAsia="Times New Roman" w:hAnsi="Times New Roman" w:cs="Times New Roman"/>
          <w:sz w:val="24"/>
          <w:szCs w:val="24"/>
          <w:lang w:val="ru-RU" w:eastAsia="ru-RU"/>
        </w:rPr>
        <w:t xml:space="preserve"> В</w:t>
      </w:r>
      <w:proofErr w:type="gramEnd"/>
      <w:r w:rsidRPr="00B11231">
        <w:rPr>
          <w:rFonts w:ascii="Times New Roman" w:eastAsia="Times New Roman" w:hAnsi="Times New Roman" w:cs="Times New Roman"/>
          <w:sz w:val="24"/>
          <w:szCs w:val="24"/>
          <w:lang w:val="ru-RU" w:eastAsia="ru-RU"/>
        </w:rPr>
        <w:t xml:space="preserve"> / клетку за 60 минут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vertAlign w:val="superscript"/>
          <w:lang w:val="ru-RU" w:eastAsia="ru-RU"/>
        </w:rPr>
        <w:t xml:space="preserve">Предоставлено: </w:t>
      </w:r>
      <w:proofErr w:type="spellStart"/>
      <w:r w:rsidRPr="00B11231">
        <w:rPr>
          <w:rFonts w:ascii="Times New Roman" w:eastAsia="Times New Roman" w:hAnsi="Times New Roman" w:cs="Times New Roman"/>
          <w:sz w:val="24"/>
          <w:szCs w:val="24"/>
          <w:vertAlign w:val="superscript"/>
          <w:lang w:val="ru-RU" w:eastAsia="ru-RU"/>
        </w:rPr>
        <w:t>Cadex</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Electronics</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Inc</w:t>
      </w:r>
      <w:proofErr w:type="spellEnd"/>
      <w:r w:rsidRPr="00B11231">
        <w:rPr>
          <w:rFonts w:ascii="Times New Roman" w:eastAsia="Times New Roman" w:hAnsi="Times New Roman" w:cs="Times New Roman"/>
          <w:sz w:val="24"/>
          <w:szCs w:val="24"/>
          <w:vertAlign w:val="superscript"/>
          <w:lang w:val="ru-RU" w:eastAsia="ru-RU"/>
        </w:rPr>
        <w:t>.</w:t>
      </w:r>
      <w:r w:rsidRPr="00B11231">
        <w:rPr>
          <w:rFonts w:ascii="Times New Roman" w:eastAsia="Times New Roman" w:hAnsi="Times New Roman" w:cs="Times New Roman"/>
          <w:sz w:val="24"/>
          <w:szCs w:val="24"/>
          <w:lang w:val="ru-RU" w:eastAsia="ru-RU"/>
        </w:rPr>
        <w:t xml:space="preserve">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lang w:val="ru-RU" w:eastAsia="ru-RU"/>
        </w:rPr>
        <w:br/>
        <w:t xml:space="preserve">На рисунке 3 показаны различные времена насыщения на этапе 2 в качестве текущих трасс от полностью регулируемого тока </w:t>
      </w:r>
      <w:proofErr w:type="gramStart"/>
      <w:r w:rsidRPr="00B11231">
        <w:rPr>
          <w:rFonts w:ascii="Times New Roman" w:eastAsia="Times New Roman" w:hAnsi="Times New Roman" w:cs="Times New Roman"/>
          <w:sz w:val="24"/>
          <w:szCs w:val="24"/>
          <w:lang w:val="ru-RU" w:eastAsia="ru-RU"/>
        </w:rPr>
        <w:t>до</w:t>
      </w:r>
      <w:proofErr w:type="gramEnd"/>
      <w:r w:rsidRPr="00B11231">
        <w:rPr>
          <w:rFonts w:ascii="Times New Roman" w:eastAsia="Times New Roman" w:hAnsi="Times New Roman" w:cs="Times New Roman"/>
          <w:sz w:val="24"/>
          <w:szCs w:val="24"/>
          <w:lang w:val="ru-RU" w:eastAsia="ru-RU"/>
        </w:rPr>
        <w:t xml:space="preserve"> примерно 0,05C </w:t>
      </w:r>
      <w:proofErr w:type="gramStart"/>
      <w:r w:rsidRPr="00B11231">
        <w:rPr>
          <w:rFonts w:ascii="Times New Roman" w:eastAsia="Times New Roman" w:hAnsi="Times New Roman" w:cs="Times New Roman"/>
          <w:sz w:val="24"/>
          <w:szCs w:val="24"/>
          <w:lang w:val="ru-RU" w:eastAsia="ru-RU"/>
        </w:rPr>
        <w:t>для</w:t>
      </w:r>
      <w:proofErr w:type="gramEnd"/>
      <w:r w:rsidRPr="00B11231">
        <w:rPr>
          <w:rFonts w:ascii="Times New Roman" w:eastAsia="Times New Roman" w:hAnsi="Times New Roman" w:cs="Times New Roman"/>
          <w:sz w:val="24"/>
          <w:szCs w:val="24"/>
          <w:lang w:val="ru-RU" w:eastAsia="ru-RU"/>
        </w:rPr>
        <w:t xml:space="preserve"> запуска режима готовности. Колебание на хорошей батарее короткое и удлиняется на старинной упаковке. Это объясняет более длительное время заряда более старого Li-иона с меньшей емкостью. Аналогия - это молодой спортсмен, бегущий спринтом с небольшим замедлением или без него до конца, в то время как старик задыхается и начинает ходить, продлевая время, чтобы достичь цели.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lang w:val="ru-RU" w:eastAsia="ru-RU"/>
        </w:rPr>
        <w:br/>
      </w:r>
      <w:r>
        <w:rPr>
          <w:rFonts w:ascii="Times New Roman" w:eastAsia="Times New Roman" w:hAnsi="Times New Roman" w:cs="Times New Roman"/>
          <w:noProof/>
          <w:sz w:val="24"/>
          <w:szCs w:val="24"/>
          <w:lang w:val="ru-RU" w:eastAsia="ru-RU"/>
        </w:rPr>
        <w:drawing>
          <wp:inline distT="0" distB="0" distL="0" distR="0">
            <wp:extent cx="5429250" cy="3648075"/>
            <wp:effectExtent l="19050" t="0" r="0" b="0"/>
            <wp:docPr id="3" name="Рисунок 3" descr="Рисунок 3: Наблюдение за временем насыщения нового и стареющего Li-ion на этапе 2 перед переходом на готов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унок 3: Наблюдение за временем насыщения нового и стареющего Li-ion на этапе 2 перед переходом на готовность."/>
                    <pic:cNvPicPr>
                      <a:picLocks noChangeAspect="1" noChangeArrowheads="1"/>
                    </pic:cNvPicPr>
                  </pic:nvPicPr>
                  <pic:blipFill>
                    <a:blip r:embed="rId7"/>
                    <a:srcRect/>
                    <a:stretch>
                      <a:fillRect/>
                    </a:stretch>
                  </pic:blipFill>
                  <pic:spPr bwMode="auto">
                    <a:xfrm>
                      <a:off x="0" y="0"/>
                      <a:ext cx="5429250" cy="3648075"/>
                    </a:xfrm>
                    <a:prstGeom prst="rect">
                      <a:avLst/>
                    </a:prstGeom>
                    <a:noFill/>
                    <a:ln w="9525">
                      <a:noFill/>
                      <a:miter lim="800000"/>
                      <a:headEnd/>
                      <a:tailEnd/>
                    </a:ln>
                  </pic:spPr>
                </pic:pic>
              </a:graphicData>
            </a:graphic>
          </wp:inline>
        </w:drawing>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b/>
          <w:bCs/>
          <w:sz w:val="24"/>
          <w:szCs w:val="24"/>
          <w:lang w:val="ru-RU" w:eastAsia="ru-RU"/>
        </w:rPr>
        <w:t xml:space="preserve">Рисунок 3: Наблюдение за временем насыщения нового и стареющего </w:t>
      </w:r>
      <w:proofErr w:type="spellStart"/>
      <w:r w:rsidRPr="00B11231">
        <w:rPr>
          <w:rFonts w:ascii="Times New Roman" w:eastAsia="Times New Roman" w:hAnsi="Times New Roman" w:cs="Times New Roman"/>
          <w:b/>
          <w:bCs/>
          <w:sz w:val="24"/>
          <w:szCs w:val="24"/>
          <w:lang w:val="ru-RU" w:eastAsia="ru-RU"/>
        </w:rPr>
        <w:t>Li-ion</w:t>
      </w:r>
      <w:proofErr w:type="spellEnd"/>
      <w:r w:rsidRPr="00B11231">
        <w:rPr>
          <w:rFonts w:ascii="Times New Roman" w:eastAsia="Times New Roman" w:hAnsi="Times New Roman" w:cs="Times New Roman"/>
          <w:b/>
          <w:bCs/>
          <w:sz w:val="24"/>
          <w:szCs w:val="24"/>
          <w:lang w:val="ru-RU" w:eastAsia="ru-RU"/>
        </w:rPr>
        <w:t xml:space="preserve"> на этапе 2 перед переходом на готовность.</w:t>
      </w:r>
      <w:r w:rsidRPr="00B11231">
        <w:rPr>
          <w:rFonts w:ascii="Times New Roman" w:eastAsia="Times New Roman" w:hAnsi="Times New Roman" w:cs="Times New Roman"/>
          <w:sz w:val="24"/>
          <w:szCs w:val="24"/>
          <w:lang w:val="ru-RU" w:eastAsia="ru-RU"/>
        </w:rPr>
        <w:t xml:space="preserve"> </w:t>
      </w:r>
      <w:r w:rsidRPr="00B11231">
        <w:rPr>
          <w:rFonts w:ascii="Times New Roman" w:eastAsia="Times New Roman" w:hAnsi="Times New Roman" w:cs="Times New Roman"/>
          <w:sz w:val="24"/>
          <w:szCs w:val="24"/>
          <w:lang w:val="ru-RU" w:eastAsia="ru-RU"/>
        </w:rPr>
        <w:br/>
        <w:t xml:space="preserve">Новая ячейка остается в полном заряде дольше, чем у старой клетки, и имеет более короткий текущий след.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vertAlign w:val="superscript"/>
          <w:lang w:val="ru-RU" w:eastAsia="ru-RU"/>
        </w:rPr>
        <w:t xml:space="preserve">Предоставлено: </w:t>
      </w:r>
      <w:proofErr w:type="spellStart"/>
      <w:r w:rsidRPr="00B11231">
        <w:rPr>
          <w:rFonts w:ascii="Times New Roman" w:eastAsia="Times New Roman" w:hAnsi="Times New Roman" w:cs="Times New Roman"/>
          <w:sz w:val="24"/>
          <w:szCs w:val="24"/>
          <w:vertAlign w:val="superscript"/>
          <w:lang w:val="ru-RU" w:eastAsia="ru-RU"/>
        </w:rPr>
        <w:t>Cadex</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Electronics</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Inc</w:t>
      </w:r>
      <w:proofErr w:type="spellEnd"/>
      <w:r w:rsidRPr="00B11231">
        <w:rPr>
          <w:rFonts w:ascii="Times New Roman" w:eastAsia="Times New Roman" w:hAnsi="Times New Roman" w:cs="Times New Roman"/>
          <w:sz w:val="24"/>
          <w:szCs w:val="24"/>
          <w:vertAlign w:val="superscript"/>
          <w:lang w:val="ru-RU" w:eastAsia="ru-RU"/>
        </w:rPr>
        <w:t>.</w:t>
      </w:r>
      <w:r w:rsidRPr="00B11231">
        <w:rPr>
          <w:rFonts w:ascii="Times New Roman" w:eastAsia="Times New Roman" w:hAnsi="Times New Roman" w:cs="Times New Roman"/>
          <w:sz w:val="24"/>
          <w:szCs w:val="24"/>
          <w:lang w:val="ru-RU" w:eastAsia="ru-RU"/>
        </w:rPr>
        <w:t xml:space="preserve">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lang w:val="ru-RU" w:eastAsia="ru-RU"/>
        </w:rPr>
        <w:lastRenderedPageBreak/>
        <w:br/>
        <w:t xml:space="preserve">Общим эффектом старения Li-иона является потеря способности переноса заряда. Это обусловлено образованием пассивных материалов на электродах, что препятствует потоку свободных электронов. Это уменьшает пористость на электродах, уменьшает площадь поверхности, снижает низкую ионную проводимость и повышает сопротивление миграции. Явление старения является постоянным и не может быть отменено.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lang w:val="ru-RU" w:eastAsia="ru-RU"/>
        </w:rPr>
        <w:br/>
        <w:t xml:space="preserve">Здоровье батареи основано на следующих трех основных признаках: </w:t>
      </w:r>
    </w:p>
    <w:p w:rsidR="00B11231" w:rsidRPr="00B11231" w:rsidRDefault="00B11231" w:rsidP="00B11231">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B11231">
        <w:rPr>
          <w:rFonts w:ascii="Times New Roman" w:eastAsia="Times New Roman" w:hAnsi="Times New Roman" w:cs="Times New Roman"/>
          <w:sz w:val="24"/>
          <w:szCs w:val="24"/>
          <w:lang w:val="ru-RU" w:eastAsia="ru-RU"/>
        </w:rPr>
        <w:t xml:space="preserve">Емкость, способность хранить энергию. Емкость является ведущим показателем здоровья аккумулятора </w:t>
      </w:r>
    </w:p>
    <w:p w:rsidR="00B11231" w:rsidRPr="00B11231" w:rsidRDefault="00B11231" w:rsidP="00B11231">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B11231">
        <w:rPr>
          <w:rFonts w:ascii="Times New Roman" w:eastAsia="Times New Roman" w:hAnsi="Times New Roman" w:cs="Times New Roman"/>
          <w:sz w:val="24"/>
          <w:szCs w:val="24"/>
          <w:lang w:val="ru-RU" w:eastAsia="ru-RU"/>
        </w:rPr>
        <w:t xml:space="preserve">Внутреннее сопротивление, способность доставлять ток </w:t>
      </w:r>
    </w:p>
    <w:p w:rsidR="00B11231" w:rsidRPr="00B11231" w:rsidRDefault="00B11231" w:rsidP="00B11231">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B11231">
        <w:rPr>
          <w:rFonts w:ascii="Times New Roman" w:eastAsia="Times New Roman" w:hAnsi="Times New Roman" w:cs="Times New Roman"/>
          <w:sz w:val="24"/>
          <w:szCs w:val="24"/>
          <w:lang w:val="ru-RU" w:eastAsia="ru-RU"/>
        </w:rPr>
        <w:t xml:space="preserve">Саморазряд, индикатор механической целостности </w:t>
      </w:r>
    </w:p>
    <w:p w:rsidR="00B11231" w:rsidRPr="00B11231" w:rsidRDefault="00B11231" w:rsidP="00B11231">
      <w:pPr>
        <w:spacing w:before="100" w:beforeAutospacing="1" w:after="100" w:afterAutospacing="1"/>
        <w:rPr>
          <w:rFonts w:ascii="Times New Roman" w:eastAsia="Times New Roman" w:hAnsi="Times New Roman" w:cs="Times New Roman"/>
          <w:sz w:val="24"/>
          <w:szCs w:val="24"/>
          <w:lang w:val="en-US" w:eastAsia="ru-RU"/>
        </w:rPr>
      </w:pPr>
      <w:r w:rsidRPr="00B11231">
        <w:rPr>
          <w:rFonts w:ascii="Times New Roman" w:eastAsia="Times New Roman" w:hAnsi="Times New Roman" w:cs="Times New Roman"/>
          <w:sz w:val="24"/>
          <w:szCs w:val="24"/>
          <w:lang w:val="ru-RU" w:eastAsia="ru-RU"/>
        </w:rPr>
        <w:br/>
        <w:t xml:space="preserve">Подпись обвинения показывает ценные индикаторы здоровья </w:t>
      </w:r>
      <w:proofErr w:type="spellStart"/>
      <w:r w:rsidRPr="00B11231">
        <w:rPr>
          <w:rFonts w:ascii="Times New Roman" w:eastAsia="Times New Roman" w:hAnsi="Times New Roman" w:cs="Times New Roman"/>
          <w:sz w:val="24"/>
          <w:szCs w:val="24"/>
          <w:lang w:val="ru-RU" w:eastAsia="ru-RU"/>
        </w:rPr>
        <w:t>Li-ion</w:t>
      </w:r>
      <w:proofErr w:type="spellEnd"/>
      <w:r w:rsidRPr="00B11231">
        <w:rPr>
          <w:rFonts w:ascii="Times New Roman" w:eastAsia="Times New Roman" w:hAnsi="Times New Roman" w:cs="Times New Roman"/>
          <w:sz w:val="24"/>
          <w:szCs w:val="24"/>
          <w:lang w:val="ru-RU" w:eastAsia="ru-RU"/>
        </w:rPr>
        <w:t>. Хорошая батарея поглощает большую часть заряда в первой ступени до достижения 4,20</w:t>
      </w:r>
      <w:proofErr w:type="gramStart"/>
      <w:r w:rsidRPr="00B11231">
        <w:rPr>
          <w:rFonts w:ascii="Times New Roman" w:eastAsia="Times New Roman" w:hAnsi="Times New Roman" w:cs="Times New Roman"/>
          <w:sz w:val="24"/>
          <w:szCs w:val="24"/>
          <w:lang w:val="ru-RU" w:eastAsia="ru-RU"/>
        </w:rPr>
        <w:t xml:space="preserve"> В</w:t>
      </w:r>
      <w:proofErr w:type="gramEnd"/>
      <w:r w:rsidRPr="00B11231">
        <w:rPr>
          <w:rFonts w:ascii="Times New Roman" w:eastAsia="Times New Roman" w:hAnsi="Times New Roman" w:cs="Times New Roman"/>
          <w:sz w:val="24"/>
          <w:szCs w:val="24"/>
          <w:lang w:val="ru-RU" w:eastAsia="ru-RU"/>
        </w:rPr>
        <w:t xml:space="preserve"> / ячейку, а задняя часть второй ступени короткая. «Отсутствие голода» на </w:t>
      </w:r>
      <w:proofErr w:type="spellStart"/>
      <w:r w:rsidRPr="00B11231">
        <w:rPr>
          <w:rFonts w:ascii="Times New Roman" w:eastAsia="Times New Roman" w:hAnsi="Times New Roman" w:cs="Times New Roman"/>
          <w:sz w:val="24"/>
          <w:szCs w:val="24"/>
          <w:lang w:val="ru-RU" w:eastAsia="ru-RU"/>
        </w:rPr>
        <w:t>Li-ion</w:t>
      </w:r>
      <w:proofErr w:type="spellEnd"/>
      <w:r w:rsidRPr="00B11231">
        <w:rPr>
          <w:rFonts w:ascii="Times New Roman" w:eastAsia="Times New Roman" w:hAnsi="Times New Roman" w:cs="Times New Roman"/>
          <w:sz w:val="24"/>
          <w:szCs w:val="24"/>
          <w:lang w:val="ru-RU" w:eastAsia="ru-RU"/>
        </w:rPr>
        <w:t xml:space="preserve"> можно отнести к частично заряженной батарее; исключительно длительное время задержки относится к батарее с малой емкостью, высоким внутренним сопротивлением и / или повышенным саморазрядом.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lang w:val="ru-RU" w:eastAsia="ru-RU"/>
        </w:rPr>
        <w:br/>
        <w:t xml:space="preserve">Могут быть разработаны алгоритмы, которые сравнивают этап 1 и этап 2 на основе мощности и состояния заряда. Аномалии, такие как низкая емкость и повышенный саморазряд, можно определить, установив пороговые значения приема. </w:t>
      </w:r>
      <w:proofErr w:type="spellStart"/>
      <w:r w:rsidRPr="00B11231">
        <w:rPr>
          <w:rFonts w:ascii="Times New Roman" w:eastAsia="Times New Roman" w:hAnsi="Times New Roman" w:cs="Times New Roman"/>
          <w:sz w:val="24"/>
          <w:szCs w:val="24"/>
          <w:lang w:val="ru-RU" w:eastAsia="ru-RU"/>
        </w:rPr>
        <w:t>Cadex</w:t>
      </w:r>
      <w:proofErr w:type="spellEnd"/>
      <w:r w:rsidRPr="00B11231">
        <w:rPr>
          <w:rFonts w:ascii="Times New Roman" w:eastAsia="Times New Roman" w:hAnsi="Times New Roman" w:cs="Times New Roman"/>
          <w:sz w:val="24"/>
          <w:szCs w:val="24"/>
          <w:lang w:val="ru-RU" w:eastAsia="ru-RU"/>
        </w:rPr>
        <w:t xml:space="preserve"> разрабатывает зарядные устройства с алгоритмами, которые будут обеспечивать диагностические функции. Такое продвижение будет способствовать поддержанию одиночного зарядного устройства в контрольном положении для обеспечения гарантии качества в батареях без дополнительной логистики. </w:t>
      </w:r>
      <w:r w:rsidRPr="00B11231">
        <w:rPr>
          <w:rFonts w:ascii="Times New Roman" w:eastAsia="Times New Roman" w:hAnsi="Times New Roman" w:cs="Times New Roman"/>
          <w:sz w:val="24"/>
          <w:szCs w:val="24"/>
          <w:lang w:val="ru-RU" w:eastAsia="ru-RU"/>
        </w:rPr>
        <w:br/>
      </w:r>
      <w:r w:rsidRPr="00B11231">
        <w:rPr>
          <w:rFonts w:ascii="Times New Roman" w:eastAsia="Times New Roman" w:hAnsi="Times New Roman" w:cs="Times New Roman"/>
          <w:sz w:val="24"/>
          <w:szCs w:val="24"/>
          <w:lang w:val="ru-RU" w:eastAsia="ru-RU"/>
        </w:rPr>
        <w:br/>
        <w:t>Последнее</w:t>
      </w:r>
      <w:r w:rsidRPr="00B11231">
        <w:rPr>
          <w:rFonts w:ascii="Times New Roman" w:eastAsia="Times New Roman" w:hAnsi="Times New Roman" w:cs="Times New Roman"/>
          <w:sz w:val="24"/>
          <w:szCs w:val="24"/>
          <w:lang w:val="en-US" w:eastAsia="ru-RU"/>
        </w:rPr>
        <w:t xml:space="preserve"> </w:t>
      </w:r>
      <w:r w:rsidRPr="00B11231">
        <w:rPr>
          <w:rFonts w:ascii="Times New Roman" w:eastAsia="Times New Roman" w:hAnsi="Times New Roman" w:cs="Times New Roman"/>
          <w:sz w:val="24"/>
          <w:szCs w:val="24"/>
          <w:lang w:val="ru-RU" w:eastAsia="ru-RU"/>
        </w:rPr>
        <w:t>обновление</w:t>
      </w:r>
      <w:r w:rsidRPr="00B11231">
        <w:rPr>
          <w:rFonts w:ascii="Times New Roman" w:eastAsia="Times New Roman" w:hAnsi="Times New Roman" w:cs="Times New Roman"/>
          <w:sz w:val="24"/>
          <w:szCs w:val="24"/>
          <w:lang w:val="en-US" w:eastAsia="ru-RU"/>
        </w:rPr>
        <w:t xml:space="preserve">: 2017-08-16 </w:t>
      </w:r>
    </w:p>
    <w:p w:rsidR="00D7364D" w:rsidRDefault="00D7364D" w:rsidP="00B11231">
      <w:pPr>
        <w:spacing w:before="100" w:beforeAutospacing="1" w:after="100" w:afterAutospacing="1"/>
        <w:outlineLvl w:val="0"/>
        <w:rPr>
          <w:rFonts w:ascii="Times New Roman" w:eastAsia="Times New Roman" w:hAnsi="Times New Roman" w:cs="Times New Roman"/>
          <w:b/>
          <w:bCs/>
          <w:kern w:val="36"/>
          <w:sz w:val="48"/>
          <w:szCs w:val="48"/>
          <w:lang w:val="ru-RU" w:eastAsia="ru-RU"/>
        </w:rPr>
      </w:pPr>
    </w:p>
    <w:p w:rsidR="00D7364D" w:rsidRDefault="00D7364D" w:rsidP="00B11231">
      <w:pPr>
        <w:spacing w:before="100" w:beforeAutospacing="1" w:after="100" w:afterAutospacing="1"/>
        <w:outlineLvl w:val="0"/>
        <w:rPr>
          <w:rFonts w:ascii="Times New Roman" w:eastAsia="Times New Roman" w:hAnsi="Times New Roman" w:cs="Times New Roman"/>
          <w:b/>
          <w:bCs/>
          <w:kern w:val="36"/>
          <w:sz w:val="48"/>
          <w:szCs w:val="48"/>
          <w:lang w:val="ru-RU" w:eastAsia="ru-RU"/>
        </w:rPr>
      </w:pPr>
    </w:p>
    <w:p w:rsidR="00B11231" w:rsidRPr="00B11231" w:rsidRDefault="00B11231" w:rsidP="00B11231">
      <w:pPr>
        <w:spacing w:before="100" w:beforeAutospacing="1" w:after="100" w:afterAutospacing="1"/>
        <w:outlineLvl w:val="0"/>
        <w:rPr>
          <w:rFonts w:ascii="Times New Roman" w:eastAsia="Times New Roman" w:hAnsi="Times New Roman" w:cs="Times New Roman"/>
          <w:b/>
          <w:bCs/>
          <w:kern w:val="36"/>
          <w:sz w:val="48"/>
          <w:szCs w:val="48"/>
          <w:lang w:val="en-US" w:eastAsia="ru-RU"/>
        </w:rPr>
      </w:pPr>
      <w:r w:rsidRPr="00B11231">
        <w:rPr>
          <w:rFonts w:ascii="Times New Roman" w:eastAsia="Times New Roman" w:hAnsi="Times New Roman" w:cs="Times New Roman"/>
          <w:b/>
          <w:bCs/>
          <w:kern w:val="36"/>
          <w:sz w:val="48"/>
          <w:szCs w:val="48"/>
          <w:lang w:val="en-US" w:eastAsia="ru-RU"/>
        </w:rPr>
        <w:t xml:space="preserve">Why do Old Li-ion Batteries Take Long to Charge? </w:t>
      </w:r>
    </w:p>
    <w:p w:rsidR="00B11231" w:rsidRPr="00B11231" w:rsidRDefault="00B11231" w:rsidP="00B11231">
      <w:pPr>
        <w:spacing w:before="100" w:beforeAutospacing="1" w:after="100" w:afterAutospacing="1"/>
        <w:rPr>
          <w:rFonts w:ascii="Times New Roman" w:eastAsia="Times New Roman" w:hAnsi="Times New Roman" w:cs="Times New Roman"/>
          <w:sz w:val="24"/>
          <w:szCs w:val="24"/>
          <w:lang w:val="en-US" w:eastAsia="ru-RU"/>
        </w:rPr>
      </w:pPr>
      <w:r w:rsidRPr="00B11231">
        <w:rPr>
          <w:rFonts w:ascii="Times New Roman" w:eastAsia="Times New Roman" w:hAnsi="Times New Roman" w:cs="Times New Roman"/>
          <w:b/>
          <w:bCs/>
          <w:sz w:val="24"/>
          <w:szCs w:val="24"/>
          <w:lang w:val="en-US" w:eastAsia="ru-RU"/>
        </w:rPr>
        <w:t>Connect charging behavior to fundamentals in Battery Health</w:t>
      </w:r>
      <w:r w:rsidRPr="00B11231">
        <w:rPr>
          <w:rFonts w:ascii="Times New Roman" w:eastAsia="Times New Roman" w:hAnsi="Times New Roman" w:cs="Times New Roman"/>
          <w:sz w:val="24"/>
          <w:szCs w:val="24"/>
          <w:lang w:val="en-US" w:eastAsia="ru-RU"/>
        </w:rPr>
        <w:t xml:space="preserve">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lang w:val="en-US" w:eastAsia="ru-RU"/>
        </w:rPr>
        <w:br/>
        <w:t xml:space="preserve">Battery users often ask: “Why does an old Li-ion lake so long to charge?” Indeed, when Li-ion gets older, the battery takes its time to charge even if there is little to fill. We call this the “old-man syndrome.” Figure 1 illustrates the charge time of a new Li-ion with a capacity of 100 percent against an aged pack delivering only 82 percent. Both take roughly 150 minutes to charge. </w:t>
      </w:r>
    </w:p>
    <w:p w:rsidR="00B11231" w:rsidRPr="00B11231" w:rsidRDefault="00B11231" w:rsidP="00B11231">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3648075"/>
            <wp:effectExtent l="19050" t="0" r="0" b="0"/>
            <wp:docPr id="7" name="Рисунок 7" descr="Figure 1:   New and aged Li-ion batteries are charg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1:   New and aged Li-ion batteries are charged. "/>
                    <pic:cNvPicPr>
                      <a:picLocks noChangeAspect="1" noChangeArrowheads="1"/>
                    </pic:cNvPicPr>
                  </pic:nvPicPr>
                  <pic:blipFill>
                    <a:blip r:embed="rId5"/>
                    <a:srcRect/>
                    <a:stretch>
                      <a:fillRect/>
                    </a:stretch>
                  </pic:blipFill>
                  <pic:spPr bwMode="auto">
                    <a:xfrm>
                      <a:off x="0" y="0"/>
                      <a:ext cx="5429250" cy="3648075"/>
                    </a:xfrm>
                    <a:prstGeom prst="rect">
                      <a:avLst/>
                    </a:prstGeom>
                    <a:noFill/>
                    <a:ln w="9525">
                      <a:noFill/>
                      <a:miter lim="800000"/>
                      <a:headEnd/>
                      <a:tailEnd/>
                    </a:ln>
                  </pic:spPr>
                </pic:pic>
              </a:graphicData>
            </a:graphic>
          </wp:inline>
        </w:drawing>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b/>
          <w:bCs/>
          <w:sz w:val="24"/>
          <w:szCs w:val="24"/>
          <w:lang w:val="en-US" w:eastAsia="ru-RU"/>
        </w:rPr>
        <w:t>Figure 1: New and aged Li-ion batteries are charged.</w:t>
      </w:r>
      <w:r w:rsidRPr="00B11231">
        <w:rPr>
          <w:rFonts w:ascii="Times New Roman" w:eastAsia="Times New Roman" w:hAnsi="Times New Roman" w:cs="Times New Roman"/>
          <w:sz w:val="24"/>
          <w:szCs w:val="24"/>
          <w:lang w:val="en-US" w:eastAsia="ru-RU"/>
        </w:rPr>
        <w:t xml:space="preserve"> </w:t>
      </w:r>
      <w:r w:rsidRPr="00B11231">
        <w:rPr>
          <w:rFonts w:ascii="Times New Roman" w:eastAsia="Times New Roman" w:hAnsi="Times New Roman" w:cs="Times New Roman"/>
          <w:sz w:val="24"/>
          <w:szCs w:val="24"/>
          <w:lang w:val="en-US" w:eastAsia="ru-RU"/>
        </w:rPr>
        <w:br/>
        <w:t xml:space="preserve">Both packs take roughly 150 minutes to charge. </w:t>
      </w:r>
      <w:proofErr w:type="gramStart"/>
      <w:r w:rsidRPr="00B11231">
        <w:rPr>
          <w:rFonts w:ascii="Times New Roman" w:eastAsia="Times New Roman" w:hAnsi="Times New Roman" w:cs="Times New Roman"/>
          <w:sz w:val="24"/>
          <w:szCs w:val="24"/>
          <w:lang w:val="en-US" w:eastAsia="ru-RU"/>
        </w:rPr>
        <w:t>The new pack charges to 1,400mAh (100%) while the aged one only goes to 1,150mAh (82%).</w:t>
      </w:r>
      <w:proofErr w:type="gramEnd"/>
      <w:r w:rsidRPr="00B11231">
        <w:rPr>
          <w:rFonts w:ascii="Times New Roman" w:eastAsia="Times New Roman" w:hAnsi="Times New Roman" w:cs="Times New Roman"/>
          <w:sz w:val="24"/>
          <w:szCs w:val="24"/>
          <w:lang w:val="en-US" w:eastAsia="ru-RU"/>
        </w:rPr>
        <w:t xml:space="preserve"> </w:t>
      </w:r>
      <w:r w:rsidRPr="00B11231">
        <w:rPr>
          <w:rFonts w:ascii="Times New Roman" w:eastAsia="Times New Roman" w:hAnsi="Times New Roman" w:cs="Times New Roman"/>
          <w:sz w:val="24"/>
          <w:szCs w:val="24"/>
          <w:lang w:val="en-US" w:eastAsia="ru-RU"/>
        </w:rPr>
        <w:br/>
      </w:r>
      <w:proofErr w:type="spellStart"/>
      <w:r w:rsidRPr="00B11231">
        <w:rPr>
          <w:rFonts w:ascii="Times New Roman" w:eastAsia="Times New Roman" w:hAnsi="Times New Roman" w:cs="Times New Roman"/>
          <w:sz w:val="24"/>
          <w:szCs w:val="24"/>
          <w:vertAlign w:val="superscript"/>
          <w:lang w:val="ru-RU" w:eastAsia="ru-RU"/>
        </w:rPr>
        <w:t>Courtesy</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Cadex</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Electronics</w:t>
      </w:r>
      <w:proofErr w:type="spellEnd"/>
      <w:r w:rsidRPr="00B11231">
        <w:rPr>
          <w:rFonts w:ascii="Times New Roman" w:eastAsia="Times New Roman" w:hAnsi="Times New Roman" w:cs="Times New Roman"/>
          <w:sz w:val="24"/>
          <w:szCs w:val="24"/>
          <w:vertAlign w:val="superscript"/>
          <w:lang w:val="ru-RU" w:eastAsia="ru-RU"/>
        </w:rPr>
        <w:t xml:space="preserve"> </w:t>
      </w:r>
      <w:proofErr w:type="spellStart"/>
      <w:r w:rsidRPr="00B11231">
        <w:rPr>
          <w:rFonts w:ascii="Times New Roman" w:eastAsia="Times New Roman" w:hAnsi="Times New Roman" w:cs="Times New Roman"/>
          <w:sz w:val="24"/>
          <w:szCs w:val="24"/>
          <w:vertAlign w:val="superscript"/>
          <w:lang w:val="ru-RU" w:eastAsia="ru-RU"/>
        </w:rPr>
        <w:t>Inc</w:t>
      </w:r>
      <w:proofErr w:type="spellEnd"/>
      <w:r w:rsidRPr="00B11231">
        <w:rPr>
          <w:rFonts w:ascii="Times New Roman" w:eastAsia="Times New Roman" w:hAnsi="Times New Roman" w:cs="Times New Roman"/>
          <w:sz w:val="24"/>
          <w:szCs w:val="24"/>
          <w:vertAlign w:val="superscript"/>
          <w:lang w:val="ru-RU" w:eastAsia="ru-RU"/>
        </w:rPr>
        <w:t>.</w:t>
      </w:r>
      <w:r w:rsidRPr="00B11231">
        <w:rPr>
          <w:rFonts w:ascii="Times New Roman" w:eastAsia="Times New Roman" w:hAnsi="Times New Roman" w:cs="Times New Roman"/>
          <w:sz w:val="24"/>
          <w:szCs w:val="24"/>
          <w:lang w:val="ru-RU" w:eastAsia="ru-RU"/>
        </w:rPr>
        <w:t xml:space="preserve"> </w:t>
      </w:r>
    </w:p>
    <w:p w:rsidR="00B11231" w:rsidRPr="00B11231" w:rsidRDefault="00B11231" w:rsidP="00B11231">
      <w:pPr>
        <w:spacing w:before="100" w:beforeAutospacing="1" w:after="100" w:afterAutospacing="1"/>
        <w:rPr>
          <w:rFonts w:ascii="Times New Roman" w:eastAsia="Times New Roman" w:hAnsi="Times New Roman" w:cs="Times New Roman"/>
          <w:sz w:val="24"/>
          <w:szCs w:val="24"/>
          <w:lang w:val="en-US" w:eastAsia="ru-RU"/>
        </w:rPr>
      </w:pPr>
      <w:r w:rsidRPr="00B11231">
        <w:rPr>
          <w:rFonts w:ascii="Times New Roman" w:eastAsia="Times New Roman" w:hAnsi="Times New Roman" w:cs="Times New Roman"/>
          <w:sz w:val="24"/>
          <w:szCs w:val="24"/>
          <w:lang w:val="en-US" w:eastAsia="ru-RU"/>
        </w:rPr>
        <w:br/>
        <w:t xml:space="preserve">When charging Li-ion, the voltage shoots up similar to lifting a weight with a rubber band. The new pack as demonstrated in Figure 2 is “hungrier” and can take on more “food" before reaching the 4.20V/cell voltage limit compared to the aged Li-ion that hits V Limit in Stage 1 after only about 60 minutes. In terms of a rubber band analogy, the new battery has less slack than to the aged pack and can accept charge longer before going into saturation.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lang w:val="en-US" w:eastAsia="ru-RU"/>
        </w:rPr>
        <w:br/>
      </w:r>
      <w:r>
        <w:rPr>
          <w:rFonts w:ascii="Times New Roman" w:eastAsia="Times New Roman" w:hAnsi="Times New Roman" w:cs="Times New Roman"/>
          <w:noProof/>
          <w:sz w:val="24"/>
          <w:szCs w:val="24"/>
          <w:lang w:val="ru-RU" w:eastAsia="ru-RU"/>
        </w:rPr>
        <w:drawing>
          <wp:inline distT="0" distB="0" distL="0" distR="0">
            <wp:extent cx="5429250" cy="3648075"/>
            <wp:effectExtent l="19050" t="0" r="0" b="0"/>
            <wp:docPr id="8" name="Рисунок 8" descr="Figure 2: Observing charge times of a new and aged Li-ion in Stage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ure 2: Observing charge times of a new and aged Li-ion in Stage 1. "/>
                    <pic:cNvPicPr>
                      <a:picLocks noChangeAspect="1" noChangeArrowheads="1"/>
                    </pic:cNvPicPr>
                  </pic:nvPicPr>
                  <pic:blipFill>
                    <a:blip r:embed="rId6"/>
                    <a:srcRect/>
                    <a:stretch>
                      <a:fillRect/>
                    </a:stretch>
                  </pic:blipFill>
                  <pic:spPr bwMode="auto">
                    <a:xfrm>
                      <a:off x="0" y="0"/>
                      <a:ext cx="5429250" cy="3648075"/>
                    </a:xfrm>
                    <a:prstGeom prst="rect">
                      <a:avLst/>
                    </a:prstGeom>
                    <a:noFill/>
                    <a:ln w="9525">
                      <a:noFill/>
                      <a:miter lim="800000"/>
                      <a:headEnd/>
                      <a:tailEnd/>
                    </a:ln>
                  </pic:spPr>
                </pic:pic>
              </a:graphicData>
            </a:graphic>
          </wp:inline>
        </w:drawing>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b/>
          <w:bCs/>
          <w:sz w:val="24"/>
          <w:szCs w:val="24"/>
          <w:lang w:val="en-US" w:eastAsia="ru-RU"/>
        </w:rPr>
        <w:t>Figure 2: Observing charge times of a new and aged Li-ion in Stage 1.</w:t>
      </w:r>
      <w:r w:rsidRPr="00B11231">
        <w:rPr>
          <w:rFonts w:ascii="Times New Roman" w:eastAsia="Times New Roman" w:hAnsi="Times New Roman" w:cs="Times New Roman"/>
          <w:sz w:val="24"/>
          <w:szCs w:val="24"/>
          <w:lang w:val="en-US" w:eastAsia="ru-RU"/>
        </w:rPr>
        <w:t xml:space="preserve"> </w:t>
      </w:r>
      <w:r w:rsidRPr="00B11231">
        <w:rPr>
          <w:rFonts w:ascii="Times New Roman" w:eastAsia="Times New Roman" w:hAnsi="Times New Roman" w:cs="Times New Roman"/>
          <w:sz w:val="24"/>
          <w:szCs w:val="24"/>
          <w:lang w:val="en-US" w:eastAsia="ru-RU"/>
        </w:rPr>
        <w:br/>
        <w:t xml:space="preserve">The new Li-ion takes on full charge for 90 minutes while the aged cell reaches 4.20V/cell in 60 minutes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vertAlign w:val="superscript"/>
          <w:lang w:val="en-US" w:eastAsia="ru-RU"/>
        </w:rPr>
        <w:t xml:space="preserve">Courtesy: </w:t>
      </w:r>
      <w:proofErr w:type="spellStart"/>
      <w:r w:rsidRPr="00B11231">
        <w:rPr>
          <w:rFonts w:ascii="Times New Roman" w:eastAsia="Times New Roman" w:hAnsi="Times New Roman" w:cs="Times New Roman"/>
          <w:sz w:val="24"/>
          <w:szCs w:val="24"/>
          <w:vertAlign w:val="superscript"/>
          <w:lang w:val="en-US" w:eastAsia="ru-RU"/>
        </w:rPr>
        <w:t>Cadex</w:t>
      </w:r>
      <w:proofErr w:type="spellEnd"/>
      <w:r w:rsidRPr="00B11231">
        <w:rPr>
          <w:rFonts w:ascii="Times New Roman" w:eastAsia="Times New Roman" w:hAnsi="Times New Roman" w:cs="Times New Roman"/>
          <w:sz w:val="24"/>
          <w:szCs w:val="24"/>
          <w:vertAlign w:val="superscript"/>
          <w:lang w:val="en-US" w:eastAsia="ru-RU"/>
        </w:rPr>
        <w:t xml:space="preserve"> Electronics Inc.</w:t>
      </w:r>
      <w:r w:rsidRPr="00B11231">
        <w:rPr>
          <w:rFonts w:ascii="Times New Roman" w:eastAsia="Times New Roman" w:hAnsi="Times New Roman" w:cs="Times New Roman"/>
          <w:sz w:val="24"/>
          <w:szCs w:val="24"/>
          <w:lang w:val="en-US" w:eastAsia="ru-RU"/>
        </w:rPr>
        <w:t xml:space="preserve">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lang w:val="en-US" w:eastAsia="ru-RU"/>
        </w:rPr>
        <w:br/>
        <w:t xml:space="preserve">Figure 3 demonstrates the different saturation times in Stage 2 as the current trails from the fully regulated </w:t>
      </w:r>
      <w:r w:rsidRPr="00B11231">
        <w:rPr>
          <w:rFonts w:ascii="Times New Roman" w:eastAsia="Times New Roman" w:hAnsi="Times New Roman" w:cs="Times New Roman"/>
          <w:sz w:val="24"/>
          <w:szCs w:val="24"/>
          <w:lang w:val="en-US" w:eastAsia="ru-RU"/>
        </w:rPr>
        <w:lastRenderedPageBreak/>
        <w:t xml:space="preserve">current to about 0.05C to trigger ready mode. The trailing on a good battery is short and is prolonged on an aged pack. This explains the longer charge time of an older Li-ion with less capacity. An analogy is a young athlete running a sprint with little or no slow-down towards the end, while the old man gets out of breath and begins walking, prolonging the time to reach the goal.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lang w:val="en-US" w:eastAsia="ru-RU"/>
        </w:rPr>
        <w:br/>
      </w:r>
      <w:r>
        <w:rPr>
          <w:rFonts w:ascii="Times New Roman" w:eastAsia="Times New Roman" w:hAnsi="Times New Roman" w:cs="Times New Roman"/>
          <w:noProof/>
          <w:sz w:val="24"/>
          <w:szCs w:val="24"/>
          <w:lang w:val="ru-RU" w:eastAsia="ru-RU"/>
        </w:rPr>
        <w:drawing>
          <wp:inline distT="0" distB="0" distL="0" distR="0">
            <wp:extent cx="5429250" cy="3648075"/>
            <wp:effectExtent l="19050" t="0" r="0" b="0"/>
            <wp:docPr id="9" name="Рисунок 9" descr="Figure 3: Observing saturation times of new and aged Li-ion in Stage 2 before switching to re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3: Observing saturation times of new and aged Li-ion in Stage 2 before switching to ready."/>
                    <pic:cNvPicPr>
                      <a:picLocks noChangeAspect="1" noChangeArrowheads="1"/>
                    </pic:cNvPicPr>
                  </pic:nvPicPr>
                  <pic:blipFill>
                    <a:blip r:embed="rId7"/>
                    <a:srcRect/>
                    <a:stretch>
                      <a:fillRect/>
                    </a:stretch>
                  </pic:blipFill>
                  <pic:spPr bwMode="auto">
                    <a:xfrm>
                      <a:off x="0" y="0"/>
                      <a:ext cx="5429250" cy="3648075"/>
                    </a:xfrm>
                    <a:prstGeom prst="rect">
                      <a:avLst/>
                    </a:prstGeom>
                    <a:noFill/>
                    <a:ln w="9525">
                      <a:noFill/>
                      <a:miter lim="800000"/>
                      <a:headEnd/>
                      <a:tailEnd/>
                    </a:ln>
                  </pic:spPr>
                </pic:pic>
              </a:graphicData>
            </a:graphic>
          </wp:inline>
        </w:drawing>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b/>
          <w:bCs/>
          <w:sz w:val="24"/>
          <w:szCs w:val="24"/>
          <w:lang w:val="en-US" w:eastAsia="ru-RU"/>
        </w:rPr>
        <w:t>Figure 3: Observing saturation times of new and aged Li-ion in Stage 2 before switching to ready.</w:t>
      </w:r>
      <w:r w:rsidRPr="00B11231">
        <w:rPr>
          <w:rFonts w:ascii="Times New Roman" w:eastAsia="Times New Roman" w:hAnsi="Times New Roman" w:cs="Times New Roman"/>
          <w:sz w:val="24"/>
          <w:szCs w:val="24"/>
          <w:lang w:val="en-US" w:eastAsia="ru-RU"/>
        </w:rPr>
        <w:t xml:space="preserve"> </w:t>
      </w:r>
      <w:r w:rsidRPr="00B11231">
        <w:rPr>
          <w:rFonts w:ascii="Times New Roman" w:eastAsia="Times New Roman" w:hAnsi="Times New Roman" w:cs="Times New Roman"/>
          <w:sz w:val="24"/>
          <w:szCs w:val="24"/>
          <w:lang w:val="en-US" w:eastAsia="ru-RU"/>
        </w:rPr>
        <w:br/>
        <w:t xml:space="preserve">The new cell stays in full-charge longer than the old cell and has a shorter current trail.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vertAlign w:val="superscript"/>
          <w:lang w:val="en-US" w:eastAsia="ru-RU"/>
        </w:rPr>
        <w:t xml:space="preserve">Courtesy: </w:t>
      </w:r>
      <w:proofErr w:type="spellStart"/>
      <w:r w:rsidRPr="00B11231">
        <w:rPr>
          <w:rFonts w:ascii="Times New Roman" w:eastAsia="Times New Roman" w:hAnsi="Times New Roman" w:cs="Times New Roman"/>
          <w:sz w:val="24"/>
          <w:szCs w:val="24"/>
          <w:vertAlign w:val="superscript"/>
          <w:lang w:val="en-US" w:eastAsia="ru-RU"/>
        </w:rPr>
        <w:t>Cadex</w:t>
      </w:r>
      <w:proofErr w:type="spellEnd"/>
      <w:r w:rsidRPr="00B11231">
        <w:rPr>
          <w:rFonts w:ascii="Times New Roman" w:eastAsia="Times New Roman" w:hAnsi="Times New Roman" w:cs="Times New Roman"/>
          <w:sz w:val="24"/>
          <w:szCs w:val="24"/>
          <w:vertAlign w:val="superscript"/>
          <w:lang w:val="en-US" w:eastAsia="ru-RU"/>
        </w:rPr>
        <w:t xml:space="preserve"> Electronics Inc.</w:t>
      </w:r>
      <w:r w:rsidRPr="00B11231">
        <w:rPr>
          <w:rFonts w:ascii="Times New Roman" w:eastAsia="Times New Roman" w:hAnsi="Times New Roman" w:cs="Times New Roman"/>
          <w:sz w:val="24"/>
          <w:szCs w:val="24"/>
          <w:lang w:val="en-US" w:eastAsia="ru-RU"/>
        </w:rPr>
        <w:t xml:space="preserve">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lang w:val="en-US" w:eastAsia="ru-RU"/>
        </w:rPr>
        <w:br/>
      </w:r>
      <w:proofErr w:type="gramStart"/>
      <w:r w:rsidRPr="00B11231">
        <w:rPr>
          <w:rFonts w:ascii="Times New Roman" w:eastAsia="Times New Roman" w:hAnsi="Times New Roman" w:cs="Times New Roman"/>
          <w:sz w:val="24"/>
          <w:szCs w:val="24"/>
          <w:lang w:val="en-US" w:eastAsia="ru-RU"/>
        </w:rPr>
        <w:t>A</w:t>
      </w:r>
      <w:proofErr w:type="gramEnd"/>
      <w:r w:rsidRPr="00B11231">
        <w:rPr>
          <w:rFonts w:ascii="Times New Roman" w:eastAsia="Times New Roman" w:hAnsi="Times New Roman" w:cs="Times New Roman"/>
          <w:sz w:val="24"/>
          <w:szCs w:val="24"/>
          <w:lang w:val="en-US" w:eastAsia="ru-RU"/>
        </w:rPr>
        <w:t xml:space="preserve"> common aging effect of Li-ion is loss of charge transfer capability. This is caused by the formation of passive materials on the electrodes, which inhibits the flow of free electrons. This reduces the porosity on the electrodes, decreases the surface area, lowers the lower ionic conductivity and raises migration resistance. The aging phenomenon is permanent and cannot be reversed.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lang w:val="en-US" w:eastAsia="ru-RU"/>
        </w:rPr>
        <w:br/>
        <w:t xml:space="preserve">The health of a battery is based on these three fundamental attributes: </w:t>
      </w:r>
    </w:p>
    <w:p w:rsidR="00B11231" w:rsidRPr="00B11231" w:rsidRDefault="00B11231" w:rsidP="00B11231">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B11231">
        <w:rPr>
          <w:rFonts w:ascii="Times New Roman" w:eastAsia="Times New Roman" w:hAnsi="Times New Roman" w:cs="Times New Roman"/>
          <w:sz w:val="24"/>
          <w:szCs w:val="24"/>
          <w:lang w:val="en-US" w:eastAsia="ru-RU"/>
        </w:rPr>
        <w:t xml:space="preserve">Capacity, the ability to store energy. Capacity is the leading health indicator of a battery </w:t>
      </w:r>
    </w:p>
    <w:p w:rsidR="00B11231" w:rsidRPr="00B11231" w:rsidRDefault="00B11231" w:rsidP="00B11231">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B11231">
        <w:rPr>
          <w:rFonts w:ascii="Times New Roman" w:eastAsia="Times New Roman" w:hAnsi="Times New Roman" w:cs="Times New Roman"/>
          <w:sz w:val="24"/>
          <w:szCs w:val="24"/>
          <w:lang w:val="en-US" w:eastAsia="ru-RU"/>
        </w:rPr>
        <w:t xml:space="preserve">Internal resistance, the ability to deliver current </w:t>
      </w:r>
    </w:p>
    <w:p w:rsidR="00B11231" w:rsidRPr="00B11231" w:rsidRDefault="00B11231" w:rsidP="00B11231">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B11231">
        <w:rPr>
          <w:rFonts w:ascii="Times New Roman" w:eastAsia="Times New Roman" w:hAnsi="Times New Roman" w:cs="Times New Roman"/>
          <w:sz w:val="24"/>
          <w:szCs w:val="24"/>
          <w:lang w:val="en-US" w:eastAsia="ru-RU"/>
        </w:rPr>
        <w:t xml:space="preserve">Self-discharge, indicator of the mechanical integrity </w:t>
      </w:r>
    </w:p>
    <w:p w:rsidR="00B11231" w:rsidRPr="00B11231" w:rsidRDefault="00B11231" w:rsidP="00B11231">
      <w:pPr>
        <w:spacing w:before="100" w:beforeAutospacing="1" w:after="100" w:afterAutospacing="1"/>
        <w:rPr>
          <w:rFonts w:ascii="Times New Roman" w:eastAsia="Times New Roman" w:hAnsi="Times New Roman" w:cs="Times New Roman"/>
          <w:sz w:val="24"/>
          <w:szCs w:val="24"/>
          <w:lang w:val="ru-RU" w:eastAsia="ru-RU"/>
        </w:rPr>
      </w:pPr>
      <w:r w:rsidRPr="00B11231">
        <w:rPr>
          <w:rFonts w:ascii="Times New Roman" w:eastAsia="Times New Roman" w:hAnsi="Times New Roman" w:cs="Times New Roman"/>
          <w:sz w:val="24"/>
          <w:szCs w:val="24"/>
          <w:lang w:val="en-US" w:eastAsia="ru-RU"/>
        </w:rPr>
        <w:br/>
        <w:t xml:space="preserve">The charge signature reveals valuable health indicators of Li-ion. A good battery absorbs most of the charge in Stage 1 before reaching 4.20V/cell and the trailing in Stage 2 is short. “Lack of hunger” on a Li-ion can be attributed to a battery being partially charged; exceptionally long trailing times relates to a battery with low capacity, high internal resistance and/or elevated self-discharge.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lang w:val="en-US" w:eastAsia="ru-RU"/>
        </w:rPr>
        <w:br/>
        <w:t xml:space="preserve">Algorithms can be developed that compare Stage 1 and Stage 2 based on capacity and state-of-charge. Anomalies, such as low capacity and elevated self-discharge can be identified by setting acceptance thresholds. </w:t>
      </w:r>
      <w:proofErr w:type="spellStart"/>
      <w:r w:rsidRPr="00B11231">
        <w:rPr>
          <w:rFonts w:ascii="Times New Roman" w:eastAsia="Times New Roman" w:hAnsi="Times New Roman" w:cs="Times New Roman"/>
          <w:sz w:val="24"/>
          <w:szCs w:val="24"/>
          <w:lang w:val="en-US" w:eastAsia="ru-RU"/>
        </w:rPr>
        <w:t>Cadex</w:t>
      </w:r>
      <w:proofErr w:type="spellEnd"/>
      <w:r w:rsidRPr="00B11231">
        <w:rPr>
          <w:rFonts w:ascii="Times New Roman" w:eastAsia="Times New Roman" w:hAnsi="Times New Roman" w:cs="Times New Roman"/>
          <w:sz w:val="24"/>
          <w:szCs w:val="24"/>
          <w:lang w:val="en-US" w:eastAsia="ru-RU"/>
        </w:rPr>
        <w:t xml:space="preserve"> is developing chargers with algorithms that will provide diagnostic functions. Such advancement will promote the lone charger into a supervisory position to provide quality assurance in batteries without added logistics. </w:t>
      </w:r>
      <w:r w:rsidRPr="00B11231">
        <w:rPr>
          <w:rFonts w:ascii="Times New Roman" w:eastAsia="Times New Roman" w:hAnsi="Times New Roman" w:cs="Times New Roman"/>
          <w:sz w:val="24"/>
          <w:szCs w:val="24"/>
          <w:lang w:val="en-US" w:eastAsia="ru-RU"/>
        </w:rPr>
        <w:br/>
      </w:r>
      <w:r w:rsidRPr="00B11231">
        <w:rPr>
          <w:rFonts w:ascii="Times New Roman" w:eastAsia="Times New Roman" w:hAnsi="Times New Roman" w:cs="Times New Roman"/>
          <w:sz w:val="24"/>
          <w:szCs w:val="24"/>
          <w:lang w:val="en-US" w:eastAsia="ru-RU"/>
        </w:rPr>
        <w:br/>
      </w:r>
      <w:proofErr w:type="spellStart"/>
      <w:r w:rsidRPr="00B11231">
        <w:rPr>
          <w:rFonts w:ascii="Times New Roman" w:eastAsia="Times New Roman" w:hAnsi="Times New Roman" w:cs="Times New Roman"/>
          <w:sz w:val="24"/>
          <w:szCs w:val="24"/>
          <w:lang w:val="ru-RU" w:eastAsia="ru-RU"/>
        </w:rPr>
        <w:t>Last</w:t>
      </w:r>
      <w:proofErr w:type="spellEnd"/>
      <w:r w:rsidRPr="00B11231">
        <w:rPr>
          <w:rFonts w:ascii="Times New Roman" w:eastAsia="Times New Roman" w:hAnsi="Times New Roman" w:cs="Times New Roman"/>
          <w:sz w:val="24"/>
          <w:szCs w:val="24"/>
          <w:lang w:val="ru-RU" w:eastAsia="ru-RU"/>
        </w:rPr>
        <w:t xml:space="preserve"> </w:t>
      </w:r>
      <w:proofErr w:type="spellStart"/>
      <w:r w:rsidRPr="00B11231">
        <w:rPr>
          <w:rFonts w:ascii="Times New Roman" w:eastAsia="Times New Roman" w:hAnsi="Times New Roman" w:cs="Times New Roman"/>
          <w:sz w:val="24"/>
          <w:szCs w:val="24"/>
          <w:lang w:val="ru-RU" w:eastAsia="ru-RU"/>
        </w:rPr>
        <w:t>updated</w:t>
      </w:r>
      <w:proofErr w:type="spellEnd"/>
      <w:r w:rsidRPr="00B11231">
        <w:rPr>
          <w:rFonts w:ascii="Times New Roman" w:eastAsia="Times New Roman" w:hAnsi="Times New Roman" w:cs="Times New Roman"/>
          <w:sz w:val="24"/>
          <w:szCs w:val="24"/>
          <w:lang w:val="ru-RU" w:eastAsia="ru-RU"/>
        </w:rPr>
        <w:t xml:space="preserve"> 2017-08-16 </w:t>
      </w:r>
    </w:p>
    <w:p w:rsidR="00674831" w:rsidRDefault="00D7364D"/>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22013"/>
    <w:multiLevelType w:val="multilevel"/>
    <w:tmpl w:val="C9B83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8E5E5D"/>
    <w:multiLevelType w:val="multilevel"/>
    <w:tmpl w:val="DFD0A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B11231"/>
    <w:rsid w:val="00105458"/>
    <w:rsid w:val="001726C1"/>
    <w:rsid w:val="001A6DBB"/>
    <w:rsid w:val="00200C7C"/>
    <w:rsid w:val="00542A37"/>
    <w:rsid w:val="008C56BE"/>
    <w:rsid w:val="00B11231"/>
    <w:rsid w:val="00B147DC"/>
    <w:rsid w:val="00B150B6"/>
    <w:rsid w:val="00C62980"/>
    <w:rsid w:val="00C85CD0"/>
    <w:rsid w:val="00CE5E13"/>
    <w:rsid w:val="00CF47B2"/>
    <w:rsid w:val="00D06711"/>
    <w:rsid w:val="00D4651B"/>
    <w:rsid w:val="00D7364D"/>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B11231"/>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1231"/>
    <w:rPr>
      <w:rFonts w:ascii="Times New Roman" w:eastAsia="Times New Roman" w:hAnsi="Times New Roman" w:cs="Times New Roman"/>
      <w:b/>
      <w:bCs/>
      <w:kern w:val="36"/>
      <w:sz w:val="48"/>
      <w:szCs w:val="48"/>
      <w:lang w:val="ru-RU" w:eastAsia="ru-RU"/>
    </w:rPr>
  </w:style>
  <w:style w:type="character" w:customStyle="1" w:styleId="notranslate">
    <w:name w:val="notranslate"/>
    <w:basedOn w:val="a0"/>
    <w:rsid w:val="00B11231"/>
  </w:style>
  <w:style w:type="paragraph" w:styleId="a3">
    <w:name w:val="Normal (Web)"/>
    <w:basedOn w:val="a"/>
    <w:uiPriority w:val="99"/>
    <w:semiHidden/>
    <w:unhideWhenUsed/>
    <w:rsid w:val="00B11231"/>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B11231"/>
    <w:rPr>
      <w:b/>
      <w:bCs/>
    </w:rPr>
  </w:style>
  <w:style w:type="paragraph" w:styleId="a5">
    <w:name w:val="Balloon Text"/>
    <w:basedOn w:val="a"/>
    <w:link w:val="a6"/>
    <w:uiPriority w:val="99"/>
    <w:semiHidden/>
    <w:unhideWhenUsed/>
    <w:rsid w:val="00B11231"/>
    <w:rPr>
      <w:rFonts w:ascii="Tahoma" w:hAnsi="Tahoma" w:cs="Tahoma"/>
      <w:sz w:val="16"/>
      <w:szCs w:val="16"/>
    </w:rPr>
  </w:style>
  <w:style w:type="character" w:customStyle="1" w:styleId="a6">
    <w:name w:val="Текст выноски Знак"/>
    <w:basedOn w:val="a0"/>
    <w:link w:val="a5"/>
    <w:uiPriority w:val="99"/>
    <w:semiHidden/>
    <w:rsid w:val="00B112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13014111">
      <w:bodyDiv w:val="1"/>
      <w:marLeft w:val="0"/>
      <w:marRight w:val="0"/>
      <w:marTop w:val="0"/>
      <w:marBottom w:val="0"/>
      <w:divBdr>
        <w:top w:val="none" w:sz="0" w:space="0" w:color="auto"/>
        <w:left w:val="none" w:sz="0" w:space="0" w:color="auto"/>
        <w:bottom w:val="none" w:sz="0" w:space="0" w:color="auto"/>
        <w:right w:val="none" w:sz="0" w:space="0" w:color="auto"/>
      </w:divBdr>
    </w:div>
    <w:div w:id="127725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1155</Words>
  <Characters>6590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2017-10-08T21:10:00Z</dcterms:created>
  <dcterms:modified xsi:type="dcterms:W3CDTF">2017-10-10T17:56:00Z</dcterms:modified>
</cp:coreProperties>
</file>