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FD2" w:rsidRPr="00354302" w:rsidRDefault="00122FD2" w:rsidP="00122FD2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</w:pP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Виконани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й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машинний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переклад,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можуть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траплятися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незначні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неточності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. В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кінці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текст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мовою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оригіналу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.</w:t>
      </w:r>
    </w:p>
    <w:p w:rsidR="007558E5" w:rsidRPr="007558E5" w:rsidRDefault="007558E5" w:rsidP="007558E5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</w:pPr>
      <w:r w:rsidRPr="007558E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 xml:space="preserve">Велоспорт </w:t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58E5">
        <w:rPr>
          <w:rFonts w:ascii="Arial" w:eastAsia="Times New Roman" w:hAnsi="Arial" w:cs="Arial"/>
          <w:b/>
          <w:bCs/>
          <w:sz w:val="20"/>
          <w:lang w:val="ru-RU" w:eastAsia="ru-RU"/>
        </w:rPr>
        <w:t xml:space="preserve">Узнайте, как </w:t>
      </w:r>
      <w:proofErr w:type="spellStart"/>
      <w:r w:rsidRPr="007558E5">
        <w:rPr>
          <w:rFonts w:ascii="Arial" w:eastAsia="Times New Roman" w:hAnsi="Arial" w:cs="Arial"/>
          <w:b/>
          <w:bCs/>
          <w:sz w:val="20"/>
          <w:lang w:val="ru-RU" w:eastAsia="ru-RU"/>
        </w:rPr>
        <w:t>NiCd</w:t>
      </w:r>
      <w:proofErr w:type="spellEnd"/>
      <w:r w:rsidRPr="007558E5">
        <w:rPr>
          <w:rFonts w:ascii="Arial" w:eastAsia="Times New Roman" w:hAnsi="Arial" w:cs="Arial"/>
          <w:b/>
          <w:bCs/>
          <w:sz w:val="20"/>
          <w:lang w:val="ru-RU" w:eastAsia="ru-RU"/>
        </w:rPr>
        <w:t xml:space="preserve">, </w:t>
      </w:r>
      <w:proofErr w:type="spellStart"/>
      <w:r w:rsidRPr="007558E5">
        <w:rPr>
          <w:rFonts w:ascii="Arial" w:eastAsia="Times New Roman" w:hAnsi="Arial" w:cs="Arial"/>
          <w:b/>
          <w:bCs/>
          <w:sz w:val="20"/>
          <w:lang w:val="ru-RU" w:eastAsia="ru-RU"/>
        </w:rPr>
        <w:t>NiMH</w:t>
      </w:r>
      <w:proofErr w:type="spellEnd"/>
      <w:r w:rsidRPr="007558E5">
        <w:rPr>
          <w:rFonts w:ascii="Arial" w:eastAsia="Times New Roman" w:hAnsi="Arial" w:cs="Arial"/>
          <w:b/>
          <w:bCs/>
          <w:sz w:val="20"/>
          <w:lang w:val="ru-RU" w:eastAsia="ru-RU"/>
        </w:rPr>
        <w:t xml:space="preserve"> и </w:t>
      </w:r>
      <w:proofErr w:type="spellStart"/>
      <w:r w:rsidRPr="007558E5">
        <w:rPr>
          <w:rFonts w:ascii="Arial" w:eastAsia="Times New Roman" w:hAnsi="Arial" w:cs="Arial"/>
          <w:b/>
          <w:bCs/>
          <w:sz w:val="20"/>
          <w:lang w:val="ru-RU" w:eastAsia="ru-RU"/>
        </w:rPr>
        <w:t>Li-ion</w:t>
      </w:r>
      <w:proofErr w:type="spellEnd"/>
      <w:r w:rsidRPr="007558E5">
        <w:rPr>
          <w:rFonts w:ascii="Arial" w:eastAsia="Times New Roman" w:hAnsi="Arial" w:cs="Arial"/>
          <w:b/>
          <w:bCs/>
          <w:sz w:val="20"/>
          <w:lang w:val="ru-RU" w:eastAsia="ru-RU"/>
        </w:rPr>
        <w:t xml:space="preserve"> выполняют при испытании.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Для сравнения старых и новых аккумуляторных систем 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Cadex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провела испытания большого количества никель-кадмиевых, 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никель-металл-гидридных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 литиево-ионных батарей, используемых в портативных устройствах связи. Препараты включали начальный заряд, а затем режим полных циклов разряда / заряда со </w:t>
      </w:r>
      <w:hyperlink r:id="rId4" w:history="1">
        <w:r w:rsidRPr="00ED02DC">
          <w:rPr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скоростью 1С</w:t>
        </w:r>
      </w:hyperlink>
      <w:proofErr w:type="gram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.</w:t>
      </w:r>
      <w:proofErr w:type="gram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приведенных ниже таблицах показана пропускная способность в процентах, измерение сопротивления постоянного тока и саморазряда, полученные время от времени, считывая потери мощности, возникающие в течение 48-часового периода отдыха. Испытания проводились на анализаторах аккумуляторов серии 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Cadex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7000 с зарядом и разрядом 1C и 100-процентной глубиной разряда (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DoD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). </w:t>
      </w:r>
    </w:p>
    <w:p w:rsidR="007558E5" w:rsidRPr="007558E5" w:rsidRDefault="007558E5" w:rsidP="007558E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</w:pPr>
      <w:r w:rsidRPr="007558E5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 xml:space="preserve">Никель-кадмиевые </w:t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 xml:space="preserve">С точки зрения жизненного цикла, </w:t>
      </w:r>
      <w:proofErr w:type="spellStart"/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>NiCd</w:t>
      </w:r>
      <w:proofErr w:type="spellEnd"/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 xml:space="preserve"> является самой устойчивой батареей.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>На рисунке 1 показана емкость, внутреннее сопротивление и саморазряд 7,2</w:t>
      </w:r>
      <w:proofErr w:type="gramStart"/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 xml:space="preserve"> В</w:t>
      </w:r>
      <w:proofErr w:type="gramEnd"/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 xml:space="preserve">, 900 мА со стандартной ячейкой </w:t>
      </w:r>
      <w:proofErr w:type="spellStart"/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>NiCd</w:t>
      </w:r>
      <w:proofErr w:type="spellEnd"/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>.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>, а саморазряд был стабильным.</w:t>
      </w:r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sym w:font="Symbol" w:char="F057"/>
      </w:r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>Внутреннее сопротивление оставалось низким при 75 м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>Из-за временных ограничений тест был прекращен после 2300 циклов</w:t>
      </w:r>
      <w:proofErr w:type="gram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Arial" w:eastAsia="Times New Roman" w:hAnsi="Arial" w:cs="Arial"/>
          <w:sz w:val="20"/>
          <w:lang w:val="ru-RU" w:eastAsia="ru-RU"/>
        </w:rPr>
        <w:t>.</w:t>
      </w:r>
      <w:proofErr w:type="gram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7558E5">
        <w:rPr>
          <w:rFonts w:ascii="Arial" w:eastAsia="Times New Roman" w:hAnsi="Arial" w:cs="Arial"/>
          <w:sz w:val="20"/>
          <w:lang w:val="ru-RU" w:eastAsia="ru-RU"/>
        </w:rPr>
        <w:t xml:space="preserve">Эта батарея получает оценку класса «А» для почти идеальной производительности с точки зрения минимальной потери мощности при </w:t>
      </w:r>
      <w:proofErr w:type="spellStart"/>
      <w:r w:rsidRPr="007558E5">
        <w:rPr>
          <w:rFonts w:ascii="Arial" w:eastAsia="Times New Roman" w:hAnsi="Arial" w:cs="Arial"/>
          <w:sz w:val="20"/>
          <w:lang w:val="ru-RU" w:eastAsia="ru-RU"/>
        </w:rPr>
        <w:t>циклировании</w:t>
      </w:r>
      <w:proofErr w:type="spellEnd"/>
      <w:r w:rsidRPr="007558E5">
        <w:rPr>
          <w:rFonts w:ascii="Arial" w:eastAsia="Times New Roman" w:hAnsi="Arial" w:cs="Arial"/>
          <w:sz w:val="20"/>
          <w:lang w:val="ru-RU" w:eastAsia="ru-RU"/>
        </w:rPr>
        <w:t xml:space="preserve"> с 100-процентным DoD-сопротивлением и устойчивым к скальному сопротивлению во всем тесте.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7558E5">
        <w:rPr>
          <w:rFonts w:ascii="Arial" w:eastAsia="Times New Roman" w:hAnsi="Arial" w:cs="Arial"/>
          <w:sz w:val="20"/>
          <w:lang w:val="ru-RU" w:eastAsia="ru-RU"/>
        </w:rPr>
        <w:t>NiCd</w:t>
      </w:r>
      <w:proofErr w:type="spellEnd"/>
      <w:r w:rsidRPr="007558E5">
        <w:rPr>
          <w:rFonts w:ascii="Arial" w:eastAsia="Times New Roman" w:hAnsi="Arial" w:cs="Arial"/>
          <w:sz w:val="20"/>
          <w:lang w:val="ru-RU" w:eastAsia="ru-RU"/>
        </w:rPr>
        <w:t xml:space="preserve"> - единственная химия, которая может быть </w:t>
      </w:r>
      <w:proofErr w:type="spellStart"/>
      <w:r w:rsidRPr="007558E5">
        <w:rPr>
          <w:rFonts w:ascii="Arial" w:eastAsia="Times New Roman" w:hAnsi="Arial" w:cs="Arial"/>
          <w:sz w:val="20"/>
          <w:lang w:val="ru-RU" w:eastAsia="ru-RU"/>
        </w:rPr>
        <w:t>сверхбыстро</w:t>
      </w:r>
      <w:proofErr w:type="spellEnd"/>
      <w:r w:rsidRPr="007558E5">
        <w:rPr>
          <w:rFonts w:ascii="Arial" w:eastAsia="Times New Roman" w:hAnsi="Arial" w:cs="Arial"/>
          <w:sz w:val="20"/>
          <w:lang w:val="ru-RU" w:eastAsia="ru-RU"/>
        </w:rPr>
        <w:t xml:space="preserve"> заряженной при небольшом напряжении.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Arial" w:eastAsia="Times New Roman" w:hAnsi="Arial" w:cs="Arial"/>
          <w:sz w:val="20"/>
          <w:lang w:val="ru-RU" w:eastAsia="ru-RU"/>
        </w:rPr>
        <w:t xml:space="preserve">Благодаря безопасной работе </w:t>
      </w:r>
      <w:proofErr w:type="spellStart"/>
      <w:r w:rsidRPr="007558E5">
        <w:rPr>
          <w:rFonts w:ascii="Arial" w:eastAsia="Times New Roman" w:hAnsi="Arial" w:cs="Arial"/>
          <w:sz w:val="20"/>
          <w:lang w:val="ru-RU" w:eastAsia="ru-RU"/>
        </w:rPr>
        <w:t>NiCd</w:t>
      </w:r>
      <w:proofErr w:type="spellEnd"/>
      <w:r w:rsidRPr="007558E5">
        <w:rPr>
          <w:rFonts w:ascii="Arial" w:eastAsia="Times New Roman" w:hAnsi="Arial" w:cs="Arial"/>
          <w:sz w:val="20"/>
          <w:lang w:val="ru-RU" w:eastAsia="ru-RU"/>
        </w:rPr>
        <w:t xml:space="preserve"> остается предпочтительным выбором батареи на борту самолетов.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val="ru-RU" w:eastAsia="ru-RU"/>
        </w:rPr>
        <w:drawing>
          <wp:inline distT="0" distB="0" distL="0" distR="0">
            <wp:extent cx="5010150" cy="2762250"/>
            <wp:effectExtent l="19050" t="0" r="0" b="0"/>
            <wp:docPr id="1" name="Рисунок 1" descr="Производительность стандартного Ni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изводительность стандартного NiC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58E5">
        <w:rPr>
          <w:rFonts w:ascii="Arial" w:eastAsia="Times New Roman" w:hAnsi="Arial" w:cs="Arial"/>
          <w:b/>
          <w:bCs/>
          <w:sz w:val="20"/>
          <w:lang w:val="ru-RU" w:eastAsia="ru-RU"/>
        </w:rPr>
        <w:t xml:space="preserve">Рисунок 1: Производительность стандартного </w:t>
      </w:r>
      <w:proofErr w:type="spellStart"/>
      <w:r w:rsidRPr="007558E5">
        <w:rPr>
          <w:rFonts w:ascii="Arial" w:eastAsia="Times New Roman" w:hAnsi="Arial" w:cs="Arial"/>
          <w:b/>
          <w:bCs/>
          <w:sz w:val="20"/>
          <w:lang w:val="ru-RU" w:eastAsia="ru-RU"/>
        </w:rPr>
        <w:t>NiCd</w:t>
      </w:r>
      <w:proofErr w:type="spellEnd"/>
      <w:r w:rsidRPr="007558E5">
        <w:rPr>
          <w:rFonts w:ascii="Arial" w:eastAsia="Times New Roman" w:hAnsi="Arial" w:cs="Arial"/>
          <w:sz w:val="20"/>
          <w:lang w:val="ru-RU" w:eastAsia="ru-RU"/>
        </w:rPr>
        <w:t xml:space="preserve"> (7,2</w:t>
      </w:r>
      <w:proofErr w:type="gramStart"/>
      <w:r w:rsidRPr="007558E5">
        <w:rPr>
          <w:rFonts w:ascii="Arial" w:eastAsia="Times New Roman" w:hAnsi="Arial" w:cs="Arial"/>
          <w:sz w:val="20"/>
          <w:lang w:val="ru-RU" w:eastAsia="ru-RU"/>
        </w:rPr>
        <w:t xml:space="preserve"> В</w:t>
      </w:r>
      <w:proofErr w:type="gramEnd"/>
      <w:r w:rsidRPr="007558E5">
        <w:rPr>
          <w:rFonts w:ascii="Arial" w:eastAsia="Times New Roman" w:hAnsi="Arial" w:cs="Arial"/>
          <w:sz w:val="20"/>
          <w:lang w:val="ru-RU" w:eastAsia="ru-RU"/>
        </w:rPr>
        <w:t xml:space="preserve">, 900 </w:t>
      </w:r>
      <w:proofErr w:type="spellStart"/>
      <w:r w:rsidRPr="007558E5">
        <w:rPr>
          <w:rFonts w:ascii="Arial" w:eastAsia="Times New Roman" w:hAnsi="Arial" w:cs="Arial"/>
          <w:sz w:val="20"/>
          <w:lang w:val="ru-RU" w:eastAsia="ru-RU"/>
        </w:rPr>
        <w:t>мАч</w:t>
      </w:r>
      <w:proofErr w:type="spellEnd"/>
      <w:r w:rsidRPr="007558E5">
        <w:rPr>
          <w:rFonts w:ascii="Arial" w:eastAsia="Times New Roman" w:hAnsi="Arial" w:cs="Arial"/>
          <w:sz w:val="20"/>
          <w:lang w:val="ru-RU" w:eastAsia="ru-RU"/>
        </w:rPr>
        <w:t>)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7558E5">
        <w:rPr>
          <w:rFonts w:ascii="Arial" w:eastAsia="Times New Roman" w:hAnsi="Arial" w:cs="Arial"/>
          <w:sz w:val="20"/>
          <w:lang w:val="ru-RU" w:eastAsia="ru-RU"/>
        </w:rPr>
        <w:t>Эта батарея получает рейтинг «А» для стабильной емкости, низкого внутреннего сопротивления и умеренного саморазряда на протяжении многих циклов.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7558E5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 xml:space="preserve">Предоставлено 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Cadex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>Высокомощный</w:t>
      </w:r>
      <w:proofErr w:type="spellEnd"/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 xml:space="preserve"> никель-кадмий обеспечивает до 60% более высокую удельную энергию по сравнению со стандартной версией, однако это происходит за счет сокращения срока службы.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>На рисунке 2 мы наблюдаем устойчивое падение мощности в течение 2000 циклов, небольшое увеличение внутреннего сопротивления и увеличение саморазряда после 1000 циклов</w:t>
      </w:r>
      <w:proofErr w:type="gram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Arial" w:eastAsia="Times New Roman" w:hAnsi="Arial" w:cs="Arial"/>
          <w:sz w:val="20"/>
          <w:lang w:val="ru-RU" w:eastAsia="ru-RU"/>
        </w:rPr>
        <w:t>.</w:t>
      </w:r>
      <w:proofErr w:type="gram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val="ru-RU" w:eastAsia="ru-RU"/>
        </w:rPr>
        <w:lastRenderedPageBreak/>
        <w:drawing>
          <wp:inline distT="0" distB="0" distL="0" distR="0">
            <wp:extent cx="5010150" cy="3429000"/>
            <wp:effectExtent l="19050" t="0" r="0" b="0"/>
            <wp:docPr id="2" name="Рисунок 2" descr="Производительность NiCd сверхвысокой емк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оизводительность NiCd сверхвысокой емко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58E5">
        <w:rPr>
          <w:rFonts w:ascii="Arial" w:eastAsia="Times New Roman" w:hAnsi="Arial" w:cs="Arial"/>
          <w:b/>
          <w:bCs/>
          <w:sz w:val="20"/>
          <w:lang w:val="ru-RU" w:eastAsia="ru-RU"/>
        </w:rPr>
        <w:t xml:space="preserve">Рисунок 2: Производительность </w:t>
      </w:r>
      <w:proofErr w:type="spellStart"/>
      <w:r w:rsidRPr="007558E5">
        <w:rPr>
          <w:rFonts w:ascii="Arial" w:eastAsia="Times New Roman" w:hAnsi="Arial" w:cs="Arial"/>
          <w:b/>
          <w:bCs/>
          <w:sz w:val="20"/>
          <w:lang w:val="ru-RU" w:eastAsia="ru-RU"/>
        </w:rPr>
        <w:t>NiCd</w:t>
      </w:r>
      <w:proofErr w:type="spellEnd"/>
      <w:r w:rsidRPr="007558E5">
        <w:rPr>
          <w:rFonts w:ascii="Arial" w:eastAsia="Times New Roman" w:hAnsi="Arial" w:cs="Arial"/>
          <w:b/>
          <w:bCs/>
          <w:sz w:val="20"/>
          <w:lang w:val="ru-RU" w:eastAsia="ru-RU"/>
        </w:rPr>
        <w:t xml:space="preserve"> с ультравысокой пропускной способностью</w:t>
      </w:r>
      <w:r w:rsidRPr="007558E5">
        <w:rPr>
          <w:rFonts w:ascii="Arial" w:eastAsia="Times New Roman" w:hAnsi="Arial" w:cs="Arial"/>
          <w:sz w:val="20"/>
          <w:lang w:val="ru-RU" w:eastAsia="ru-RU"/>
        </w:rPr>
        <w:t xml:space="preserve"> (6 В, 700 </w:t>
      </w:r>
      <w:proofErr w:type="spellStart"/>
      <w:r w:rsidRPr="007558E5">
        <w:rPr>
          <w:rFonts w:ascii="Arial" w:eastAsia="Times New Roman" w:hAnsi="Arial" w:cs="Arial"/>
          <w:sz w:val="20"/>
          <w:lang w:val="ru-RU" w:eastAsia="ru-RU"/>
        </w:rPr>
        <w:t>мАч</w:t>
      </w:r>
      <w:proofErr w:type="spellEnd"/>
      <w:r w:rsidRPr="007558E5">
        <w:rPr>
          <w:rFonts w:ascii="Arial" w:eastAsia="Times New Roman" w:hAnsi="Arial" w:cs="Arial"/>
          <w:sz w:val="20"/>
          <w:lang w:val="ru-RU" w:eastAsia="ru-RU"/>
        </w:rPr>
        <w:t>)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7558E5">
        <w:rPr>
          <w:rFonts w:ascii="Arial" w:eastAsia="Times New Roman" w:hAnsi="Arial" w:cs="Arial"/>
          <w:sz w:val="20"/>
          <w:lang w:val="ru-RU" w:eastAsia="ru-RU"/>
        </w:rPr>
        <w:t>Эта батарея обеспечивает более высокую удельную энергию, чем стандартная версия, за счет сокращения срока службы</w:t>
      </w:r>
      <w:proofErr w:type="gram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Arial" w:eastAsia="Times New Roman" w:hAnsi="Arial" w:cs="Arial"/>
          <w:sz w:val="20"/>
          <w:lang w:val="ru-RU" w:eastAsia="ru-RU"/>
        </w:rPr>
        <w:t>.</w:t>
      </w:r>
      <w:proofErr w:type="gram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7558E5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 xml:space="preserve">Предоставлено 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Cadex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7558E5" w:rsidRPr="007558E5" w:rsidRDefault="007558E5" w:rsidP="007558E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</w:pPr>
      <w:proofErr w:type="spellStart"/>
      <w:r w:rsidRPr="007558E5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>Никель-металл-гидридные</w:t>
      </w:r>
      <w:proofErr w:type="spellEnd"/>
      <w:r w:rsidRPr="007558E5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 xml:space="preserve"> </w:t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На рисунке 3 рассматривается 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NiMH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аккумулятор, который обеспечивает высокую удельную энергию, но теряет мощность после отметки 300 циклов. Существует также быстрый рост внутреннего сопротивления после количества циклов 700 и повышения саморазряда после 1000 циклов. Тест проводился на 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NiMH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старшего поколения. </w:t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val="ru-RU" w:eastAsia="ru-RU"/>
        </w:rPr>
        <w:drawing>
          <wp:inline distT="0" distB="0" distL="0" distR="0">
            <wp:extent cx="5010150" cy="2990850"/>
            <wp:effectExtent l="19050" t="0" r="0" b="0"/>
            <wp:docPr id="3" name="Рисунок 3" descr="Производительность NiM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оизводительность NiMH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58E5">
        <w:rPr>
          <w:rFonts w:ascii="Arial" w:eastAsia="Times New Roman" w:hAnsi="Arial" w:cs="Arial"/>
          <w:b/>
          <w:bCs/>
          <w:sz w:val="20"/>
          <w:lang w:val="ru-RU" w:eastAsia="ru-RU"/>
        </w:rPr>
        <w:t xml:space="preserve">Рисунок 3: Производительность </w:t>
      </w:r>
      <w:proofErr w:type="spellStart"/>
      <w:r w:rsidRPr="007558E5">
        <w:rPr>
          <w:rFonts w:ascii="Arial" w:eastAsia="Times New Roman" w:hAnsi="Arial" w:cs="Arial"/>
          <w:b/>
          <w:bCs/>
          <w:sz w:val="20"/>
          <w:lang w:val="ru-RU" w:eastAsia="ru-RU"/>
        </w:rPr>
        <w:t>NiMH</w:t>
      </w:r>
      <w:proofErr w:type="spellEnd"/>
      <w:r w:rsidRPr="007558E5">
        <w:rPr>
          <w:rFonts w:ascii="Arial" w:eastAsia="Times New Roman" w:hAnsi="Arial" w:cs="Arial"/>
          <w:sz w:val="20"/>
          <w:lang w:val="ru-RU" w:eastAsia="ru-RU"/>
        </w:rPr>
        <w:t xml:space="preserve"> (6</w:t>
      </w:r>
      <w:proofErr w:type="gramStart"/>
      <w:r w:rsidRPr="007558E5">
        <w:rPr>
          <w:rFonts w:ascii="Arial" w:eastAsia="Times New Roman" w:hAnsi="Arial" w:cs="Arial"/>
          <w:sz w:val="20"/>
          <w:lang w:val="ru-RU" w:eastAsia="ru-RU"/>
        </w:rPr>
        <w:t xml:space="preserve"> В</w:t>
      </w:r>
      <w:proofErr w:type="gramEnd"/>
      <w:r w:rsidRPr="007558E5">
        <w:rPr>
          <w:rFonts w:ascii="Arial" w:eastAsia="Times New Roman" w:hAnsi="Arial" w:cs="Arial"/>
          <w:sz w:val="20"/>
          <w:lang w:val="ru-RU" w:eastAsia="ru-RU"/>
        </w:rPr>
        <w:t xml:space="preserve">, 950 </w:t>
      </w:r>
      <w:proofErr w:type="spellStart"/>
      <w:r w:rsidRPr="007558E5">
        <w:rPr>
          <w:rFonts w:ascii="Arial" w:eastAsia="Times New Roman" w:hAnsi="Arial" w:cs="Arial"/>
          <w:sz w:val="20"/>
          <w:lang w:val="ru-RU" w:eastAsia="ru-RU"/>
        </w:rPr>
        <w:t>мАч</w:t>
      </w:r>
      <w:proofErr w:type="spellEnd"/>
      <w:r w:rsidRPr="007558E5">
        <w:rPr>
          <w:rFonts w:ascii="Arial" w:eastAsia="Times New Roman" w:hAnsi="Arial" w:cs="Arial"/>
          <w:sz w:val="20"/>
          <w:lang w:val="ru-RU" w:eastAsia="ru-RU"/>
        </w:rPr>
        <w:t>).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7558E5">
        <w:rPr>
          <w:rFonts w:ascii="Arial" w:eastAsia="Times New Roman" w:hAnsi="Arial" w:cs="Arial"/>
          <w:sz w:val="20"/>
          <w:lang w:val="ru-RU" w:eastAsia="ru-RU"/>
        </w:rPr>
        <w:t>Эта батарея обеспечивает хорошую производительность сначала, но за последние 300 циклов, быстродействие, внутреннее сопротивление и саморазряд</w:t>
      </w:r>
      <w:proofErr w:type="gram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Arial" w:eastAsia="Times New Roman" w:hAnsi="Arial" w:cs="Arial"/>
          <w:sz w:val="20"/>
          <w:lang w:val="ru-RU" w:eastAsia="ru-RU"/>
        </w:rPr>
        <w:t>.</w:t>
      </w:r>
      <w:proofErr w:type="gram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7558E5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 xml:space="preserve">Предоставлено 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Cadex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122FD2" w:rsidRDefault="00122FD2">
      <w:pPr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br w:type="page"/>
      </w:r>
    </w:p>
    <w:p w:rsidR="007558E5" w:rsidRPr="007558E5" w:rsidRDefault="007558E5" w:rsidP="007558E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</w:pPr>
      <w:proofErr w:type="spellStart"/>
      <w:proofErr w:type="gramStart"/>
      <w:r w:rsidRPr="007558E5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lastRenderedPageBreak/>
        <w:t>Литий-ионный</w:t>
      </w:r>
      <w:proofErr w:type="spellEnd"/>
      <w:proofErr w:type="gramEnd"/>
      <w:r w:rsidRPr="007558E5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 xml:space="preserve"> </w:t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На рис. 4 рассмотрено снижение мощности современной </w:t>
      </w:r>
      <w:proofErr w:type="spellStart"/>
      <w:proofErr w:type="gram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литий-ионной</w:t>
      </w:r>
      <w:proofErr w:type="spellEnd"/>
      <w:proofErr w:type="gram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силовой ячейки при разрядах 2A, 10A, 15A и 20A. Напряжения увеличиваются с более высокими токами нагрузки, и это также относится к быстрой зарядке. (</w:t>
      </w:r>
      <w:r w:rsidRPr="00ED02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 xml:space="preserve">См.  сверхбыстрая зарядка </w:t>
      </w:r>
      <w:proofErr w:type="spellStart"/>
      <w:r w:rsidRPr="00ED02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>Li-ion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.) 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proofErr w:type="spellStart"/>
      <w:proofErr w:type="gram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Литий-ионные</w:t>
      </w:r>
      <w:proofErr w:type="spellEnd"/>
      <w:proofErr w:type="gram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производители редко указывают на повышение внутреннего сопротивления и саморазряда как функцию 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циклирования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Были сделаны усовершенствования с добавками электролита, которые поддерживают низкое сопротивление в течение большей части срока службы батареи. </w:t>
      </w:r>
      <w:r w:rsidRPr="007558E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>Саморазряд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Li-иона обычно низкий, но он может увеличиваться при неправильном использовании или при воздействии глубоких разрядов. </w:t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val="ru-RU" w:eastAsia="ru-RU"/>
        </w:rPr>
        <w:drawing>
          <wp:inline distT="0" distB="0" distL="0" distR="0">
            <wp:extent cx="5048250" cy="3790950"/>
            <wp:effectExtent l="19050" t="0" r="0" b="0"/>
            <wp:docPr id="4" name="Рисунок 4" descr="Производительность литий-ионн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оизводительность литий-ионного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58E5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Рисунок 4: Циклические характеристики IHR18650C от </w:t>
      </w:r>
      <w:proofErr w:type="spellStart"/>
      <w:r w:rsidRPr="007558E5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E-One</w:t>
      </w:r>
      <w:proofErr w:type="spellEnd"/>
      <w:r w:rsidRPr="007558E5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7558E5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Moli</w:t>
      </w:r>
      <w:proofErr w:type="spellEnd"/>
      <w:r w:rsidRPr="007558E5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.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(3,6</w:t>
      </w:r>
      <w:proofErr w:type="gram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2000 мА). 18650 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Power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Cell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заряжали 2A и разряжали на 2, 10, 15 и 20A. Внутреннее сопротивление и саморазряд - Н / Д. </w:t>
      </w: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7558E5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 xml:space="preserve">Предоставлено 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E-One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 xml:space="preserve"> 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Moli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 xml:space="preserve"> </w:t>
      </w:r>
      <w:proofErr w:type="spellStart"/>
      <w:r w:rsidRPr="007558E5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Energy</w:t>
      </w:r>
      <w:proofErr w:type="spell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Батареи, протестированные в лаборатории, как правило, обеспечивают лучшие результаты, чем в полевых условиях. Элементы стресса в повседневном использовании не всегда хорошо переносятся в испытательную лабораторию. Старение играет незначительную роль в лаборатории, потому что батареи работают в течение нескольких месяцев, а не ожидаемый срок службы в течение нескольких лет. Температура обычно умеренная, а батареи заряжаются в условиях контролируемого заряда и с одобренными зарядными устройствами. </w:t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Подпись загрузки также играет роль, поскольку все батареи разряжены с нагрузкой постоянного тока. Батареи имеют более низкий срок службы, если разряжаются импульсами. (См. </w:t>
      </w:r>
      <w:r w:rsidRPr="007558E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>Основы о разрядке</w:t>
      </w:r>
      <w:proofErr w:type="gramStart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.</w:t>
      </w:r>
      <w:proofErr w:type="gramEnd"/>
      <w:r w:rsidRPr="007558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) Не переусердствуйте с батареей, так как это сократит срок службы. Если аккумулятор заряжается при пиковых токах, выберите пакет с увеличенным номинальным током. </w:t>
      </w:r>
    </w:p>
    <w:p w:rsidR="007558E5" w:rsidRPr="007558E5" w:rsidRDefault="007558E5" w:rsidP="007558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58E5">
        <w:rPr>
          <w:rFonts w:ascii="Arial" w:eastAsia="Times New Roman" w:hAnsi="Arial" w:cs="Arial"/>
          <w:sz w:val="24"/>
          <w:szCs w:val="24"/>
          <w:lang w:val="ru-RU" w:eastAsia="ru-RU"/>
        </w:rPr>
        <w:t>Последнее обновление 2016-05-03</w:t>
      </w:r>
    </w:p>
    <w:p w:rsidR="007558E5" w:rsidRDefault="007558E5">
      <w:r>
        <w:br w:type="page"/>
      </w:r>
    </w:p>
    <w:p w:rsidR="007558E5" w:rsidRPr="007558E5" w:rsidRDefault="007558E5" w:rsidP="007558E5">
      <w:pPr>
        <w:pStyle w:val="1"/>
        <w:rPr>
          <w:lang w:val="en-US"/>
        </w:rPr>
      </w:pPr>
      <w:r w:rsidRPr="007558E5">
        <w:rPr>
          <w:rStyle w:val="notranslate"/>
          <w:lang w:val="en-US"/>
        </w:rPr>
        <w:lastRenderedPageBreak/>
        <w:t>Cycling Performance</w:t>
      </w:r>
      <w:r w:rsidRPr="007558E5">
        <w:rPr>
          <w:lang w:val="en-US"/>
        </w:rPr>
        <w:t xml:space="preserve"> </w:t>
      </w:r>
    </w:p>
    <w:p w:rsidR="007558E5" w:rsidRPr="007558E5" w:rsidRDefault="007558E5" w:rsidP="007558E5">
      <w:pPr>
        <w:pStyle w:val="a3"/>
        <w:rPr>
          <w:lang w:val="en-US"/>
        </w:rPr>
      </w:pPr>
      <w:r w:rsidRPr="007558E5">
        <w:rPr>
          <w:rStyle w:val="a4"/>
          <w:rFonts w:ascii="Arial" w:hAnsi="Arial" w:cs="Arial"/>
          <w:sz w:val="20"/>
          <w:szCs w:val="20"/>
          <w:lang w:val="en-US"/>
        </w:rPr>
        <w:t>Find out how NiCd, NiMH and Li-ion perform when put to the test.</w:t>
      </w:r>
      <w:r w:rsidRPr="007558E5">
        <w:rPr>
          <w:lang w:val="en-US"/>
        </w:rPr>
        <w:t xml:space="preserve"> </w:t>
      </w:r>
      <w:r w:rsidRPr="007558E5">
        <w:rPr>
          <w:lang w:val="en-US"/>
        </w:rPr>
        <w:br/>
      </w:r>
      <w:r w:rsidRPr="007558E5">
        <w:rPr>
          <w:lang w:val="en-US"/>
        </w:rPr>
        <w:br/>
      </w:r>
      <w:r w:rsidRPr="007558E5">
        <w:rPr>
          <w:rStyle w:val="notranslate"/>
          <w:lang w:val="en-US"/>
        </w:rPr>
        <w:t>To compare older and newer battery systems, Cadex tested a large volume of nickel-cadmium, nickel-metal-hydride and lithium ion batteries used in portable communication devices.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 xml:space="preserve">Preparations included an initial charge, followed by a regime of full discharge/charge cycles at a </w:t>
      </w:r>
      <w:r w:rsidRPr="00ED02DC">
        <w:rPr>
          <w:rStyle w:val="notranslate"/>
          <w:lang w:val="en-US"/>
        </w:rPr>
        <w:t xml:space="preserve">1C </w:t>
      </w:r>
      <w:proofErr w:type="gramStart"/>
      <w:r w:rsidRPr="00ED02DC">
        <w:rPr>
          <w:rStyle w:val="notranslate"/>
          <w:lang w:val="en-US"/>
        </w:rPr>
        <w:t>rate</w:t>
      </w:r>
      <w:r w:rsidRPr="007558E5">
        <w:rPr>
          <w:rStyle w:val="notranslate"/>
          <w:lang w:val="en-US"/>
        </w:rPr>
        <w:t xml:space="preserve"> .</w:t>
      </w:r>
      <w:proofErr w:type="gramEnd"/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>The following tables show the capacity in percent, DC resistance measurement and self-discharge obtained from time to time by reading the capacity loss incurred during a 48-hour rest period.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>The tests were carried out on the Cadex 7000 Series battery analyzers with a 1C charge and discharge and a 100 percent depth-of-discharge (</w:t>
      </w:r>
      <w:proofErr w:type="gramStart"/>
      <w:r w:rsidRPr="007558E5">
        <w:rPr>
          <w:rStyle w:val="notranslate"/>
          <w:lang w:val="en-US"/>
        </w:rPr>
        <w:t>DoD</w:t>
      </w:r>
      <w:proofErr w:type="gramEnd"/>
      <w:r w:rsidRPr="007558E5">
        <w:rPr>
          <w:rStyle w:val="notranslate"/>
          <w:lang w:val="en-US"/>
        </w:rPr>
        <w:t>).</w:t>
      </w:r>
      <w:r w:rsidRPr="007558E5">
        <w:rPr>
          <w:lang w:val="en-US"/>
        </w:rPr>
        <w:t xml:space="preserve"> </w:t>
      </w:r>
    </w:p>
    <w:p w:rsidR="007558E5" w:rsidRPr="007558E5" w:rsidRDefault="007558E5" w:rsidP="007558E5">
      <w:pPr>
        <w:pStyle w:val="2"/>
        <w:rPr>
          <w:lang w:val="en-US"/>
        </w:rPr>
      </w:pPr>
      <w:r w:rsidRPr="007558E5">
        <w:rPr>
          <w:lang w:val="en-US"/>
        </w:rPr>
        <w:br/>
      </w:r>
      <w:r w:rsidRPr="007558E5">
        <w:rPr>
          <w:rStyle w:val="notranslate"/>
          <w:lang w:val="en-US"/>
        </w:rPr>
        <w:t>Nickel-cadmium</w:t>
      </w:r>
      <w:r w:rsidRPr="007558E5">
        <w:rPr>
          <w:lang w:val="en-US"/>
        </w:rPr>
        <w:t xml:space="preserve"> </w:t>
      </w:r>
    </w:p>
    <w:p w:rsidR="007558E5" w:rsidRPr="007558E5" w:rsidRDefault="007558E5" w:rsidP="007558E5">
      <w:pPr>
        <w:pStyle w:val="a3"/>
        <w:rPr>
          <w:lang w:val="en-US"/>
        </w:rPr>
      </w:pPr>
      <w:r w:rsidRPr="007558E5">
        <w:rPr>
          <w:rStyle w:val="notranslate"/>
          <w:rFonts w:ascii="Arial" w:hAnsi="Arial" w:cs="Arial"/>
          <w:lang w:val="en-US"/>
        </w:rPr>
        <w:t>In terms of life cycling, NiCd is the most enduring battery.</w:t>
      </w:r>
      <w:r w:rsidRPr="007558E5">
        <w:rPr>
          <w:lang w:val="en-US"/>
        </w:rPr>
        <w:t xml:space="preserve"> </w:t>
      </w:r>
      <w:proofErr w:type="gramStart"/>
      <w:r w:rsidRPr="007558E5">
        <w:rPr>
          <w:rStyle w:val="notranslate"/>
          <w:rFonts w:ascii="Arial" w:hAnsi="Arial" w:cs="Arial"/>
          <w:lang w:val="en-US"/>
        </w:rPr>
        <w:t>Figure 1 illustrates capacity, internal resistance and self-discharge</w:t>
      </w:r>
      <w:proofErr w:type="gramEnd"/>
      <w:r w:rsidRPr="007558E5">
        <w:rPr>
          <w:rStyle w:val="notranslate"/>
          <w:rFonts w:ascii="Arial" w:hAnsi="Arial" w:cs="Arial"/>
          <w:lang w:val="en-US"/>
        </w:rPr>
        <w:t xml:space="preserve"> of a 7.2V, 900mA pack with standard NiCd cell.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rFonts w:ascii="Arial" w:hAnsi="Arial" w:cs="Arial"/>
          <w:lang w:val="en-US"/>
        </w:rPr>
        <w:t xml:space="preserve"> </w:t>
      </w:r>
      <w:proofErr w:type="gramStart"/>
      <w:r w:rsidRPr="007558E5">
        <w:rPr>
          <w:rStyle w:val="notranslate"/>
          <w:rFonts w:ascii="Arial" w:hAnsi="Arial" w:cs="Arial"/>
          <w:lang w:val="en-US"/>
        </w:rPr>
        <w:t>and</w:t>
      </w:r>
      <w:proofErr w:type="gramEnd"/>
      <w:r w:rsidRPr="007558E5">
        <w:rPr>
          <w:rStyle w:val="notranslate"/>
          <w:rFonts w:ascii="Arial" w:hAnsi="Arial" w:cs="Arial"/>
          <w:lang w:val="en-US"/>
        </w:rPr>
        <w:t xml:space="preserve"> the self-discharge was stable.</w:t>
      </w:r>
      <w:r>
        <w:rPr>
          <w:rStyle w:val="notranslate"/>
          <w:rFonts w:ascii="Arial" w:hAnsi="Arial" w:cs="Arial"/>
        </w:rPr>
        <w:sym w:font="Symbol" w:char="F057"/>
      </w:r>
      <w:r w:rsidRPr="007558E5">
        <w:rPr>
          <w:rStyle w:val="notranslate"/>
          <w:rFonts w:ascii="Arial" w:hAnsi="Arial" w:cs="Arial"/>
          <w:lang w:val="en-US"/>
        </w:rPr>
        <w:t>The internal resistance stayed low at 75m</w:t>
      </w:r>
      <w:r w:rsidRPr="007558E5">
        <w:rPr>
          <w:lang w:val="en-US"/>
        </w:rPr>
        <w:t xml:space="preserve"> </w:t>
      </w:r>
      <w:r w:rsidRPr="007558E5">
        <w:rPr>
          <w:rStyle w:val="notranslate"/>
          <w:rFonts w:ascii="Arial" w:hAnsi="Arial" w:cs="Arial"/>
          <w:lang w:val="en-US"/>
        </w:rPr>
        <w:t xml:space="preserve">Due to time constraints, the test was terminated after 2,300 </w:t>
      </w:r>
      <w:proofErr w:type="gramStart"/>
      <w:r w:rsidRPr="007558E5">
        <w:rPr>
          <w:rStyle w:val="notranslate"/>
          <w:rFonts w:ascii="Arial" w:hAnsi="Arial" w:cs="Arial"/>
          <w:lang w:val="en-US"/>
        </w:rPr>
        <w:t>cycles</w:t>
      </w:r>
      <w:r w:rsidRPr="007558E5">
        <w:rPr>
          <w:rStyle w:val="notranslate"/>
          <w:lang w:val="en-US"/>
        </w:rPr>
        <w:t xml:space="preserve"> </w:t>
      </w:r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>.</w:t>
      </w:r>
      <w:proofErr w:type="gramEnd"/>
      <w:r w:rsidRPr="007558E5">
        <w:rPr>
          <w:lang w:val="en-US"/>
        </w:rPr>
        <w:t xml:space="preserve"> </w:t>
      </w:r>
      <w:r w:rsidRPr="007558E5">
        <w:rPr>
          <w:lang w:val="en-US"/>
        </w:rPr>
        <w:br/>
      </w:r>
      <w:r w:rsidRPr="007558E5">
        <w:rPr>
          <w:lang w:val="en-US"/>
        </w:rPr>
        <w:br/>
      </w:r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 xml:space="preserve">This battery receives a grade “A” rating for almost perfect performance in terms of minimal capacity loss when cycling with a 100 percent </w:t>
      </w:r>
      <w:proofErr w:type="gramStart"/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>DoD</w:t>
      </w:r>
      <w:proofErr w:type="gramEnd"/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 xml:space="preserve"> and rock-solid internal resistance over the entire test.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>NiCd is the only chemistry that can be ultra-fast charged with little stress.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>Due to its safe operation, NiCd remains the preferred choice of battery on board aircrafts.</w:t>
      </w:r>
      <w:r w:rsidRPr="007558E5">
        <w:rPr>
          <w:lang w:val="en-US"/>
        </w:rPr>
        <w:t xml:space="preserve"> </w:t>
      </w:r>
    </w:p>
    <w:p w:rsidR="007558E5" w:rsidRDefault="007558E5" w:rsidP="007558E5">
      <w:pPr>
        <w:pStyle w:val="a3"/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010150" cy="2762250"/>
            <wp:effectExtent l="19050" t="0" r="0" b="0"/>
            <wp:docPr id="9" name="Рисунок 9" descr="Performance of standard Ni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erformance of standard NiC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8E5" w:rsidRPr="007558E5" w:rsidRDefault="007558E5" w:rsidP="007558E5">
      <w:pPr>
        <w:pStyle w:val="a3"/>
        <w:rPr>
          <w:lang w:val="en-US"/>
        </w:rPr>
      </w:pPr>
      <w:r w:rsidRPr="007558E5">
        <w:rPr>
          <w:rStyle w:val="a4"/>
          <w:rFonts w:ascii="Arial" w:hAnsi="Arial" w:cs="Arial"/>
          <w:sz w:val="20"/>
          <w:szCs w:val="20"/>
          <w:lang w:val="en-US"/>
        </w:rPr>
        <w:t>Figure 1: Performance of standard NiCd</w:t>
      </w:r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 xml:space="preserve"> (7.2V, 900mAh)</w:t>
      </w:r>
      <w:r w:rsidRPr="007558E5">
        <w:rPr>
          <w:lang w:val="en-US"/>
        </w:rPr>
        <w:t xml:space="preserve"> </w:t>
      </w:r>
      <w:r w:rsidRPr="007558E5">
        <w:rPr>
          <w:lang w:val="en-US"/>
        </w:rPr>
        <w:br/>
      </w:r>
      <w:proofErr w:type="gramStart"/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>This</w:t>
      </w:r>
      <w:proofErr w:type="gramEnd"/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 xml:space="preserve"> battery receives an “A” rating for stable capacity, low internal resistance and moderate self-discharge over many cycles.</w:t>
      </w:r>
      <w:r w:rsidRPr="007558E5">
        <w:rPr>
          <w:lang w:val="en-US"/>
        </w:rPr>
        <w:t xml:space="preserve"> </w:t>
      </w:r>
      <w:r w:rsidRPr="007558E5">
        <w:rPr>
          <w:lang w:val="en-US"/>
        </w:rPr>
        <w:br/>
      </w:r>
      <w:r w:rsidRPr="007558E5">
        <w:rPr>
          <w:rStyle w:val="notranslate"/>
          <w:vertAlign w:val="superscript"/>
          <w:lang w:val="en-US"/>
        </w:rPr>
        <w:t>Courtesy of Cadex</w:t>
      </w:r>
      <w:r w:rsidRPr="007558E5">
        <w:rPr>
          <w:lang w:val="en-US"/>
        </w:rPr>
        <w:t xml:space="preserve"> </w:t>
      </w:r>
    </w:p>
    <w:p w:rsidR="007558E5" w:rsidRPr="007558E5" w:rsidRDefault="007558E5" w:rsidP="007558E5">
      <w:pPr>
        <w:pStyle w:val="a3"/>
        <w:rPr>
          <w:lang w:val="en-US"/>
        </w:rPr>
      </w:pPr>
      <w:r w:rsidRPr="007558E5">
        <w:rPr>
          <w:rStyle w:val="notranslate"/>
          <w:rFonts w:ascii="Arial" w:hAnsi="Arial" w:cs="Arial"/>
          <w:lang w:val="en-US"/>
        </w:rPr>
        <w:t>The ultra-high-capacity nickel-cadmium offers up to 60 percent higher specific energy compared to the standard version, however, this comes at the expense of reduced cycle life.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rFonts w:ascii="Arial" w:hAnsi="Arial" w:cs="Arial"/>
          <w:lang w:val="en-US"/>
        </w:rPr>
        <w:t xml:space="preserve">In Figure 2 we observe a steady drop of capacity during 2,000 cycles, a slight increase in internal resistance and a rise in self-discharge after 1,000 </w:t>
      </w:r>
      <w:proofErr w:type="gramStart"/>
      <w:r w:rsidRPr="007558E5">
        <w:rPr>
          <w:rStyle w:val="notranslate"/>
          <w:rFonts w:ascii="Arial" w:hAnsi="Arial" w:cs="Arial"/>
          <w:lang w:val="en-US"/>
        </w:rPr>
        <w:t>cycles</w:t>
      </w:r>
      <w:r w:rsidRPr="007558E5">
        <w:rPr>
          <w:rStyle w:val="notranslate"/>
          <w:lang w:val="en-US"/>
        </w:rPr>
        <w:t xml:space="preserve"> </w:t>
      </w:r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>.</w:t>
      </w:r>
      <w:proofErr w:type="gramEnd"/>
      <w:r w:rsidRPr="007558E5">
        <w:rPr>
          <w:lang w:val="en-US"/>
        </w:rPr>
        <w:t xml:space="preserve"> </w:t>
      </w:r>
    </w:p>
    <w:p w:rsidR="007558E5" w:rsidRDefault="007558E5" w:rsidP="007558E5">
      <w:pPr>
        <w:pStyle w:val="a3"/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010150" cy="3429000"/>
            <wp:effectExtent l="19050" t="0" r="0" b="0"/>
            <wp:docPr id="10" name="Рисунок 10" descr="Performance of ultra-high-capacity Ni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erformance of ultra-high-capacity NiC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8E5" w:rsidRPr="007558E5" w:rsidRDefault="007558E5" w:rsidP="007558E5">
      <w:pPr>
        <w:pStyle w:val="a3"/>
        <w:rPr>
          <w:lang w:val="en-US"/>
        </w:rPr>
      </w:pPr>
      <w:r w:rsidRPr="007558E5">
        <w:rPr>
          <w:rStyle w:val="a4"/>
          <w:rFonts w:ascii="Arial" w:hAnsi="Arial" w:cs="Arial"/>
          <w:sz w:val="20"/>
          <w:szCs w:val="20"/>
          <w:lang w:val="en-US"/>
        </w:rPr>
        <w:t>Figure 2: Performance of ultra-high-capacity NiCd</w:t>
      </w:r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 xml:space="preserve"> (6V, 700mAh)</w:t>
      </w:r>
      <w:r w:rsidRPr="007558E5">
        <w:rPr>
          <w:lang w:val="en-US"/>
        </w:rPr>
        <w:t xml:space="preserve"> </w:t>
      </w:r>
      <w:r w:rsidRPr="007558E5">
        <w:rPr>
          <w:lang w:val="en-US"/>
        </w:rPr>
        <w:br/>
      </w:r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 xml:space="preserve">This battery offers higher specific energy than the standard version at the expense of reduced cycle </w:t>
      </w:r>
      <w:proofErr w:type="gramStart"/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>life</w:t>
      </w:r>
      <w:r w:rsidRPr="007558E5">
        <w:rPr>
          <w:rStyle w:val="notranslate"/>
          <w:lang w:val="en-US"/>
        </w:rPr>
        <w:t xml:space="preserve"> </w:t>
      </w:r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>.</w:t>
      </w:r>
      <w:proofErr w:type="gramEnd"/>
      <w:r w:rsidRPr="007558E5">
        <w:rPr>
          <w:lang w:val="en-US"/>
        </w:rPr>
        <w:t xml:space="preserve"> </w:t>
      </w:r>
      <w:r w:rsidRPr="007558E5">
        <w:rPr>
          <w:lang w:val="en-US"/>
        </w:rPr>
        <w:br/>
      </w:r>
      <w:r w:rsidRPr="007558E5">
        <w:rPr>
          <w:rStyle w:val="notranslate"/>
          <w:vertAlign w:val="superscript"/>
          <w:lang w:val="en-US"/>
        </w:rPr>
        <w:t>Courtesy of Cadex</w:t>
      </w:r>
      <w:r w:rsidRPr="007558E5">
        <w:rPr>
          <w:lang w:val="en-US"/>
        </w:rPr>
        <w:t xml:space="preserve"> </w:t>
      </w:r>
    </w:p>
    <w:p w:rsidR="007558E5" w:rsidRPr="007558E5" w:rsidRDefault="007558E5" w:rsidP="007558E5">
      <w:pPr>
        <w:pStyle w:val="2"/>
        <w:rPr>
          <w:lang w:val="en-US"/>
        </w:rPr>
      </w:pPr>
      <w:r w:rsidRPr="007558E5">
        <w:rPr>
          <w:rStyle w:val="notranslate"/>
          <w:lang w:val="en-US"/>
        </w:rPr>
        <w:t>Nickel-metal-hydride</w:t>
      </w:r>
      <w:r w:rsidRPr="007558E5">
        <w:rPr>
          <w:lang w:val="en-US"/>
        </w:rPr>
        <w:t xml:space="preserve"> </w:t>
      </w:r>
    </w:p>
    <w:p w:rsidR="007558E5" w:rsidRDefault="007558E5" w:rsidP="007558E5">
      <w:pPr>
        <w:pStyle w:val="a3"/>
      </w:pPr>
      <w:r w:rsidRPr="007558E5">
        <w:rPr>
          <w:rStyle w:val="notranslate"/>
          <w:lang w:val="en-US"/>
        </w:rPr>
        <w:t>Figure 3 examines NiMH, a battery that offers high specific energy but loses capacity after the 300-cycle mark.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>There is also a rapid increase in internal resistance after a cycle count of 700 and a rise in self-discharge after 1000 cycles.</w:t>
      </w:r>
      <w:r w:rsidRPr="007558E5">
        <w:rPr>
          <w:lang w:val="en-US"/>
        </w:rPr>
        <w:t xml:space="preserve"> </w:t>
      </w:r>
      <w:proofErr w:type="spellStart"/>
      <w:r>
        <w:rPr>
          <w:rStyle w:val="notranslate"/>
        </w:rPr>
        <w:t>The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test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was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done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on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an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older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generation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NiMH</w:t>
      </w:r>
      <w:proofErr w:type="spellEnd"/>
      <w:r>
        <w:rPr>
          <w:rStyle w:val="notranslate"/>
        </w:rPr>
        <w:t>.</w:t>
      </w:r>
      <w:r>
        <w:t xml:space="preserve"> </w:t>
      </w:r>
    </w:p>
    <w:p w:rsidR="007558E5" w:rsidRDefault="007558E5" w:rsidP="007558E5">
      <w:pPr>
        <w:pStyle w:val="a3"/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010150" cy="2990850"/>
            <wp:effectExtent l="19050" t="0" r="0" b="0"/>
            <wp:docPr id="11" name="Рисунок 11" descr="Performance of NiM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erformance of NiMH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8E5" w:rsidRPr="007558E5" w:rsidRDefault="007558E5" w:rsidP="007558E5">
      <w:pPr>
        <w:pStyle w:val="a3"/>
        <w:rPr>
          <w:lang w:val="en-US"/>
        </w:rPr>
      </w:pPr>
      <w:r w:rsidRPr="007558E5">
        <w:rPr>
          <w:rStyle w:val="a4"/>
          <w:rFonts w:ascii="Arial" w:hAnsi="Arial" w:cs="Arial"/>
          <w:sz w:val="20"/>
          <w:szCs w:val="20"/>
          <w:lang w:val="en-US"/>
        </w:rPr>
        <w:t>Figure 3: Performance of NiMH</w:t>
      </w:r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 xml:space="preserve"> (6V, 950mAh).</w:t>
      </w:r>
      <w:r w:rsidRPr="007558E5">
        <w:rPr>
          <w:lang w:val="en-US"/>
        </w:rPr>
        <w:t xml:space="preserve"> </w:t>
      </w:r>
      <w:r w:rsidRPr="007558E5">
        <w:rPr>
          <w:lang w:val="en-US"/>
        </w:rPr>
        <w:br/>
      </w:r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 xml:space="preserve">This battery offers good performance at first but past 300 cycles, the capacity, internal resistance and self-discharge start to increase </w:t>
      </w:r>
      <w:proofErr w:type="gramStart"/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>rapidly</w:t>
      </w:r>
      <w:r w:rsidRPr="007558E5">
        <w:rPr>
          <w:rStyle w:val="notranslate"/>
          <w:lang w:val="en-US"/>
        </w:rPr>
        <w:t xml:space="preserve"> </w:t>
      </w:r>
      <w:r w:rsidRPr="007558E5">
        <w:rPr>
          <w:rStyle w:val="notranslate"/>
          <w:rFonts w:ascii="Arial" w:hAnsi="Arial" w:cs="Arial"/>
          <w:sz w:val="20"/>
          <w:szCs w:val="20"/>
          <w:lang w:val="en-US"/>
        </w:rPr>
        <w:t>.</w:t>
      </w:r>
      <w:proofErr w:type="gramEnd"/>
      <w:r w:rsidRPr="007558E5">
        <w:rPr>
          <w:lang w:val="en-US"/>
        </w:rPr>
        <w:t xml:space="preserve"> </w:t>
      </w:r>
      <w:r w:rsidRPr="007558E5">
        <w:rPr>
          <w:lang w:val="en-US"/>
        </w:rPr>
        <w:br/>
      </w:r>
      <w:r w:rsidRPr="007558E5">
        <w:rPr>
          <w:rStyle w:val="notranslate"/>
          <w:vertAlign w:val="superscript"/>
          <w:lang w:val="en-US"/>
        </w:rPr>
        <w:t>Courtesy of Cadex</w:t>
      </w:r>
      <w:r w:rsidRPr="007558E5">
        <w:rPr>
          <w:lang w:val="en-US"/>
        </w:rPr>
        <w:t xml:space="preserve"> </w:t>
      </w:r>
    </w:p>
    <w:p w:rsidR="007558E5" w:rsidRPr="007558E5" w:rsidRDefault="007558E5" w:rsidP="007558E5">
      <w:pPr>
        <w:pStyle w:val="2"/>
        <w:rPr>
          <w:lang w:val="en-US"/>
        </w:rPr>
      </w:pPr>
      <w:r w:rsidRPr="007558E5">
        <w:rPr>
          <w:rStyle w:val="notranslate"/>
          <w:lang w:val="en-US"/>
        </w:rPr>
        <w:t>Lithium-ion</w:t>
      </w:r>
      <w:r w:rsidRPr="007558E5">
        <w:rPr>
          <w:lang w:val="en-US"/>
        </w:rPr>
        <w:t xml:space="preserve"> </w:t>
      </w:r>
    </w:p>
    <w:p w:rsidR="007558E5" w:rsidRPr="007558E5" w:rsidRDefault="007558E5" w:rsidP="007558E5">
      <w:pPr>
        <w:pStyle w:val="a3"/>
        <w:rPr>
          <w:lang w:val="en-US"/>
        </w:rPr>
      </w:pPr>
      <w:r w:rsidRPr="007558E5">
        <w:rPr>
          <w:rStyle w:val="notranslate"/>
          <w:lang w:val="en-US"/>
        </w:rPr>
        <w:t>Figure 4 examines the capacity fade of a modern Li-ion Power Cell at a 2A, 10A, 15A and 20A discharge.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>Stresses increase with higher load currents, and this also applies to fast charging.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>(</w:t>
      </w:r>
      <w:proofErr w:type="gramStart"/>
      <w:r w:rsidRPr="007558E5">
        <w:rPr>
          <w:rStyle w:val="notranslate"/>
          <w:lang w:val="en-US"/>
        </w:rPr>
        <w:t xml:space="preserve">See </w:t>
      </w:r>
      <w:r w:rsidRPr="00ED02DC">
        <w:rPr>
          <w:rStyle w:val="notranslate"/>
          <w:lang w:val="en-US"/>
        </w:rPr>
        <w:t xml:space="preserve"> Ultra</w:t>
      </w:r>
      <w:proofErr w:type="gramEnd"/>
      <w:r w:rsidRPr="00ED02DC">
        <w:rPr>
          <w:rStyle w:val="notranslate"/>
          <w:lang w:val="en-US"/>
        </w:rPr>
        <w:t>-fast charging of Li-ion</w:t>
      </w:r>
      <w:r w:rsidRPr="007558E5">
        <w:rPr>
          <w:rStyle w:val="notranslate"/>
          <w:lang w:val="en-US"/>
        </w:rPr>
        <w:t xml:space="preserve"> .)</w:t>
      </w:r>
      <w:r w:rsidRPr="007558E5">
        <w:rPr>
          <w:lang w:val="en-US"/>
        </w:rPr>
        <w:t xml:space="preserve"> </w:t>
      </w:r>
      <w:r w:rsidRPr="007558E5">
        <w:rPr>
          <w:lang w:val="en-US"/>
        </w:rPr>
        <w:br/>
      </w:r>
      <w:r w:rsidRPr="007558E5">
        <w:rPr>
          <w:lang w:val="en-US"/>
        </w:rPr>
        <w:lastRenderedPageBreak/>
        <w:br/>
      </w:r>
      <w:r w:rsidRPr="007558E5">
        <w:rPr>
          <w:rStyle w:val="notranslate"/>
          <w:lang w:val="en-US"/>
        </w:rPr>
        <w:t>Li-ion manufacturers seldom specify the rise of internal resistance and self-discharge as a function of cycling.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>Advancements have been made with electrolyte additives that keep the resistance low through most of the battery life.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 xml:space="preserve">The </w:t>
      </w:r>
      <w:r w:rsidRPr="00ED02DC">
        <w:rPr>
          <w:rStyle w:val="notranslate"/>
          <w:lang w:val="en-US"/>
        </w:rPr>
        <w:t>self-discharge</w:t>
      </w:r>
      <w:r w:rsidRPr="007558E5">
        <w:rPr>
          <w:rStyle w:val="notranslate"/>
          <w:lang w:val="en-US"/>
        </w:rPr>
        <w:t xml:space="preserve"> of Li-ion is normally low but it can increase if misused or if exposed to deep discharges.</w:t>
      </w:r>
      <w:r w:rsidRPr="007558E5">
        <w:rPr>
          <w:lang w:val="en-US"/>
        </w:rPr>
        <w:t xml:space="preserve"> </w:t>
      </w:r>
    </w:p>
    <w:p w:rsidR="007558E5" w:rsidRDefault="007558E5" w:rsidP="007558E5">
      <w:pPr>
        <w:pStyle w:val="a3"/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048250" cy="3790950"/>
            <wp:effectExtent l="19050" t="0" r="0" b="0"/>
            <wp:docPr id="12" name="Рисунок 12" descr="Performance of lithium-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erformance of lithium-ion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8E5" w:rsidRPr="007558E5" w:rsidRDefault="007558E5" w:rsidP="007558E5">
      <w:pPr>
        <w:pStyle w:val="a3"/>
        <w:rPr>
          <w:lang w:val="en-US"/>
        </w:rPr>
      </w:pPr>
      <w:r w:rsidRPr="007558E5">
        <w:rPr>
          <w:rStyle w:val="a4"/>
          <w:lang w:val="en-US"/>
        </w:rPr>
        <w:t>Figure 4: Cycle characteristics of IHR18650C by E-One Moli.</w:t>
      </w:r>
      <w:r w:rsidRPr="007558E5">
        <w:rPr>
          <w:lang w:val="en-US"/>
        </w:rPr>
        <w:t xml:space="preserve"> </w:t>
      </w:r>
      <w:proofErr w:type="gramStart"/>
      <w:r w:rsidRPr="007558E5">
        <w:rPr>
          <w:rStyle w:val="notranslate"/>
          <w:lang w:val="en-US"/>
        </w:rPr>
        <w:t>(3.6V, 2,000mA).</w:t>
      </w:r>
      <w:proofErr w:type="gramEnd"/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>18650 Power Cell was charged with 2A and discharged at 2, 10, 15 and 20A.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>The internal resistance and self-discharge are N/A.</w:t>
      </w:r>
      <w:r w:rsidRPr="007558E5">
        <w:rPr>
          <w:lang w:val="en-US"/>
        </w:rPr>
        <w:t xml:space="preserve"> </w:t>
      </w:r>
      <w:r w:rsidRPr="007558E5">
        <w:rPr>
          <w:lang w:val="en-US"/>
        </w:rPr>
        <w:br/>
      </w:r>
      <w:r w:rsidRPr="007558E5">
        <w:rPr>
          <w:rStyle w:val="notranslate"/>
          <w:vertAlign w:val="superscript"/>
          <w:lang w:val="en-US"/>
        </w:rPr>
        <w:t>Courtesy of E-One Moli Energy</w:t>
      </w:r>
      <w:r w:rsidRPr="007558E5">
        <w:rPr>
          <w:lang w:val="en-US"/>
        </w:rPr>
        <w:t xml:space="preserve"> </w:t>
      </w:r>
    </w:p>
    <w:p w:rsidR="007558E5" w:rsidRPr="007558E5" w:rsidRDefault="007558E5" w:rsidP="007558E5">
      <w:pPr>
        <w:pStyle w:val="a3"/>
        <w:rPr>
          <w:lang w:val="en-US"/>
        </w:rPr>
      </w:pPr>
      <w:r w:rsidRPr="007558E5">
        <w:rPr>
          <w:lang w:val="en-US"/>
        </w:rPr>
        <w:br/>
      </w:r>
      <w:r w:rsidRPr="007558E5">
        <w:rPr>
          <w:rStyle w:val="notranslate"/>
          <w:lang w:val="en-US"/>
        </w:rPr>
        <w:t>Batteries tested in a laboratory tend to provide better results than in the field.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>Elements of stress in everyday use do not always transfer well into a test laboratory.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>Aging plays a negligible role in a lab because the batteries are cycled over a period of a few months rather than the expected service life of several years.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>The temperature is often moderate and the batteries are charged under controlled charging condition and with approved chargers.</w:t>
      </w:r>
      <w:r w:rsidRPr="007558E5">
        <w:rPr>
          <w:lang w:val="en-US"/>
        </w:rPr>
        <w:t xml:space="preserve"> </w:t>
      </w:r>
    </w:p>
    <w:p w:rsidR="007558E5" w:rsidRPr="007558E5" w:rsidRDefault="007558E5" w:rsidP="007558E5">
      <w:pPr>
        <w:pStyle w:val="a3"/>
        <w:rPr>
          <w:lang w:val="en-US"/>
        </w:rPr>
      </w:pPr>
      <w:r w:rsidRPr="007558E5">
        <w:rPr>
          <w:lang w:val="en-US"/>
        </w:rPr>
        <w:br/>
      </w:r>
      <w:r w:rsidRPr="007558E5">
        <w:rPr>
          <w:rStyle w:val="notranslate"/>
          <w:lang w:val="en-US"/>
        </w:rPr>
        <w:t>The load signature also plays a role as all batteries were discharged with a DC load.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>Batteries tend to have a lower cycle life if discharged with pulses.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>(</w:t>
      </w:r>
      <w:proofErr w:type="gramStart"/>
      <w:r w:rsidRPr="007558E5">
        <w:rPr>
          <w:rStyle w:val="notranslate"/>
          <w:lang w:val="en-US"/>
        </w:rPr>
        <w:t xml:space="preserve">See </w:t>
      </w:r>
      <w:r w:rsidRPr="00ED02DC">
        <w:rPr>
          <w:rStyle w:val="notranslate"/>
          <w:lang w:val="en-US"/>
        </w:rPr>
        <w:t xml:space="preserve"> Basics</w:t>
      </w:r>
      <w:proofErr w:type="gramEnd"/>
      <w:r w:rsidRPr="00ED02DC">
        <w:rPr>
          <w:rStyle w:val="notranslate"/>
          <w:lang w:val="en-US"/>
        </w:rPr>
        <w:t xml:space="preserve"> About Discharging</w:t>
      </w:r>
      <w:r w:rsidRPr="007558E5">
        <w:rPr>
          <w:rStyle w:val="notranslate"/>
          <w:lang w:val="en-US"/>
        </w:rPr>
        <w:t xml:space="preserve"> .) Do not overstress a battery as this will shorten the life.</w:t>
      </w:r>
      <w:r w:rsidRPr="007558E5">
        <w:rPr>
          <w:lang w:val="en-US"/>
        </w:rPr>
        <w:t xml:space="preserve"> </w:t>
      </w:r>
      <w:r w:rsidRPr="007558E5">
        <w:rPr>
          <w:rStyle w:val="notranslate"/>
          <w:lang w:val="en-US"/>
        </w:rPr>
        <w:t>If a battery must repeatedly be loaded at peak currents, choose a pack with increased Ah rating.</w:t>
      </w:r>
      <w:r w:rsidRPr="007558E5">
        <w:rPr>
          <w:lang w:val="en-US"/>
        </w:rPr>
        <w:t xml:space="preserve"> </w:t>
      </w:r>
    </w:p>
    <w:p w:rsidR="007558E5" w:rsidRDefault="007558E5" w:rsidP="007558E5">
      <w:pPr>
        <w:pStyle w:val="a3"/>
      </w:pPr>
      <w:proofErr w:type="spellStart"/>
      <w:r>
        <w:rPr>
          <w:rStyle w:val="notranslate"/>
          <w:rFonts w:ascii="Arial" w:hAnsi="Arial" w:cs="Arial"/>
        </w:rPr>
        <w:t>Last</w:t>
      </w:r>
      <w:proofErr w:type="spellEnd"/>
      <w:r>
        <w:rPr>
          <w:rStyle w:val="notranslate"/>
          <w:rFonts w:ascii="Arial" w:hAnsi="Arial" w:cs="Arial"/>
        </w:rPr>
        <w:t xml:space="preserve"> </w:t>
      </w:r>
      <w:proofErr w:type="spellStart"/>
      <w:r>
        <w:rPr>
          <w:rStyle w:val="notranslate"/>
          <w:rFonts w:ascii="Arial" w:hAnsi="Arial" w:cs="Arial"/>
        </w:rPr>
        <w:t>Updated</w:t>
      </w:r>
      <w:proofErr w:type="spellEnd"/>
      <w:r>
        <w:rPr>
          <w:rStyle w:val="notranslate"/>
          <w:rFonts w:ascii="Arial" w:hAnsi="Arial" w:cs="Arial"/>
        </w:rPr>
        <w:t xml:space="preserve"> 2016-05-03</w:t>
      </w:r>
    </w:p>
    <w:p w:rsidR="00674831" w:rsidRDefault="00122FD2"/>
    <w:sectPr w:rsidR="00674831" w:rsidSect="00D4651B">
      <w:pgSz w:w="11906" w:h="16838" w:code="9"/>
      <w:pgMar w:top="284" w:right="284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7558E5"/>
    <w:rsid w:val="00105458"/>
    <w:rsid w:val="00122FD2"/>
    <w:rsid w:val="001A6DBB"/>
    <w:rsid w:val="00200C7C"/>
    <w:rsid w:val="00607EA2"/>
    <w:rsid w:val="007558E5"/>
    <w:rsid w:val="008C56BE"/>
    <w:rsid w:val="00967D87"/>
    <w:rsid w:val="00971458"/>
    <w:rsid w:val="00B147DC"/>
    <w:rsid w:val="00B150B6"/>
    <w:rsid w:val="00C85CD0"/>
    <w:rsid w:val="00CF47B2"/>
    <w:rsid w:val="00D06711"/>
    <w:rsid w:val="00D4651B"/>
    <w:rsid w:val="00ED02DC"/>
    <w:rsid w:val="00FD6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7B2"/>
  </w:style>
  <w:style w:type="paragraph" w:styleId="1">
    <w:name w:val="heading 1"/>
    <w:basedOn w:val="a"/>
    <w:link w:val="10"/>
    <w:uiPriority w:val="9"/>
    <w:qFormat/>
    <w:rsid w:val="007558E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link w:val="20"/>
    <w:uiPriority w:val="9"/>
    <w:qFormat/>
    <w:rsid w:val="007558E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58E5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7558E5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notranslate">
    <w:name w:val="notranslate"/>
    <w:basedOn w:val="a0"/>
    <w:rsid w:val="007558E5"/>
  </w:style>
  <w:style w:type="paragraph" w:styleId="a3">
    <w:name w:val="Normal (Web)"/>
    <w:basedOn w:val="a"/>
    <w:uiPriority w:val="99"/>
    <w:semiHidden/>
    <w:unhideWhenUsed/>
    <w:rsid w:val="007558E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7558E5"/>
    <w:rPr>
      <w:b/>
      <w:bCs/>
    </w:rPr>
  </w:style>
  <w:style w:type="character" w:styleId="a5">
    <w:name w:val="Hyperlink"/>
    <w:basedOn w:val="a0"/>
    <w:uiPriority w:val="99"/>
    <w:semiHidden/>
    <w:unhideWhenUsed/>
    <w:rsid w:val="007558E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58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58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6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translate.googleusercontent.com/translate_c?depth=1&amp;hl=ru&amp;prev=search&amp;rurl=translate.google.com.ua&amp;sl=en&amp;sp=nmt4&amp;u=http://batteryuniversity.com/learn/article/what_is_the_c_rate&amp;usg=ALkJrhgwDqxXTm0q45OZz7zdBGhFXRjlN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1395</Words>
  <Characters>7954</Characters>
  <Application>Microsoft Office Word</Application>
  <DocSecurity>0</DocSecurity>
  <Lines>66</Lines>
  <Paragraphs>18</Paragraphs>
  <ScaleCrop>false</ScaleCrop>
  <Company>SPecialiST RePack</Company>
  <LinksUpToDate>false</LinksUpToDate>
  <CharactersWithSpaces>9331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2017-10-11T08:44:00Z</dcterms:created>
  <dcterms:modified xsi:type="dcterms:W3CDTF">2017-10-22T17:09:00Z</dcterms:modified>
</cp:coreProperties>
</file>