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608" w:rsidRPr="00914608" w:rsidRDefault="004632FE" w:rsidP="00914608">
      <w:pPr>
        <w:spacing w:before="100" w:beforeAutospacing="1" w:after="100" w:afterAutospacing="1"/>
        <w:ind w:left="0" w:firstLine="0"/>
        <w:outlineLvl w:val="0"/>
        <w:rPr>
          <w:rFonts w:ascii="Times New Roman" w:eastAsia="Times New Roman" w:hAnsi="Times New Roman" w:cs="Times New Roman"/>
          <w:b/>
          <w:bCs/>
          <w:kern w:val="36"/>
          <w:sz w:val="48"/>
          <w:szCs w:val="48"/>
          <w:lang w:val="ru-RU" w:eastAsia="ru-RU"/>
        </w:rPr>
      </w:pPr>
      <w:r>
        <w:rPr>
          <w:rFonts w:ascii="Times New Roman" w:eastAsia="Times New Roman" w:hAnsi="Times New Roman" w:cs="Times New Roman"/>
          <w:b/>
          <w:bCs/>
          <w:kern w:val="36"/>
          <w:sz w:val="48"/>
          <w:szCs w:val="48"/>
          <w:lang w:val="ru-RU" w:eastAsia="ru-RU"/>
        </w:rPr>
        <w:t>Т</w:t>
      </w:r>
      <w:r w:rsidR="00914608" w:rsidRPr="00914608">
        <w:rPr>
          <w:rFonts w:ascii="Times New Roman" w:eastAsia="Times New Roman" w:hAnsi="Times New Roman" w:cs="Times New Roman"/>
          <w:b/>
          <w:bCs/>
          <w:kern w:val="36"/>
          <w:sz w:val="48"/>
          <w:szCs w:val="48"/>
          <w:lang w:val="ru-RU" w:eastAsia="ru-RU"/>
        </w:rPr>
        <w:t xml:space="preserve">естирование литиевых батарей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r w:rsidRPr="00914608">
        <w:rPr>
          <w:rFonts w:ascii="Times New Roman" w:eastAsia="Times New Roman" w:hAnsi="Times New Roman" w:cs="Times New Roman"/>
          <w:b/>
          <w:bCs/>
          <w:sz w:val="24"/>
          <w:szCs w:val="24"/>
          <w:lang w:val="ru-RU" w:eastAsia="ru-RU"/>
        </w:rPr>
        <w:t>Изучите новые методы и узнайте об ограничениях.</w:t>
      </w:r>
      <w:r w:rsidRPr="00914608">
        <w:rPr>
          <w:rFonts w:ascii="Times New Roman" w:eastAsia="Times New Roman" w:hAnsi="Times New Roman" w:cs="Times New Roman"/>
          <w:sz w:val="24"/>
          <w:szCs w:val="24"/>
          <w:lang w:val="ru-RU" w:eastAsia="ru-RU"/>
        </w:rPr>
        <w:t xml:space="preserve"> </w:t>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sz w:val="24"/>
          <w:szCs w:val="24"/>
          <w:lang w:val="ru-RU" w:eastAsia="ru-RU"/>
        </w:rPr>
        <w:br/>
        <w:t xml:space="preserve">При использовании большого количества </w:t>
      </w:r>
      <w:proofErr w:type="spellStart"/>
      <w:proofErr w:type="gramStart"/>
      <w:r w:rsidRPr="00914608">
        <w:rPr>
          <w:rFonts w:ascii="Times New Roman" w:eastAsia="Times New Roman" w:hAnsi="Times New Roman" w:cs="Times New Roman"/>
          <w:sz w:val="24"/>
          <w:szCs w:val="24"/>
          <w:lang w:val="ru-RU" w:eastAsia="ru-RU"/>
        </w:rPr>
        <w:t>литий-ионных</w:t>
      </w:r>
      <w:proofErr w:type="spellEnd"/>
      <w:proofErr w:type="gramEnd"/>
      <w:r w:rsidRPr="00914608">
        <w:rPr>
          <w:rFonts w:ascii="Times New Roman" w:eastAsia="Times New Roman" w:hAnsi="Times New Roman" w:cs="Times New Roman"/>
          <w:sz w:val="24"/>
          <w:szCs w:val="24"/>
          <w:lang w:val="ru-RU" w:eastAsia="ru-RU"/>
        </w:rPr>
        <w:t xml:space="preserve"> батарей и растущих приложений становится необходимым использование функционального метода быстрого тестирования. Было предпринято несколько попыток, включая измерение внутреннего сопротивления, и результаты были неоднозначными. Добавки сохраняют внутреннее сопротивление </w:t>
      </w:r>
      <w:proofErr w:type="gramStart"/>
      <w:r w:rsidRPr="00914608">
        <w:rPr>
          <w:rFonts w:ascii="Times New Roman" w:eastAsia="Times New Roman" w:hAnsi="Times New Roman" w:cs="Times New Roman"/>
          <w:sz w:val="24"/>
          <w:szCs w:val="24"/>
          <w:lang w:val="ru-RU" w:eastAsia="ru-RU"/>
        </w:rPr>
        <w:t>современного</w:t>
      </w:r>
      <w:proofErr w:type="gramEnd"/>
      <w:r w:rsidRPr="00914608">
        <w:rPr>
          <w:rFonts w:ascii="Times New Roman" w:eastAsia="Times New Roman" w:hAnsi="Times New Roman" w:cs="Times New Roman"/>
          <w:sz w:val="24"/>
          <w:szCs w:val="24"/>
          <w:lang w:val="ru-RU" w:eastAsia="ru-RU"/>
        </w:rPr>
        <w:t xml:space="preserve"> </w:t>
      </w:r>
      <w:proofErr w:type="spellStart"/>
      <w:r w:rsidRPr="00914608">
        <w:rPr>
          <w:rFonts w:ascii="Times New Roman" w:eastAsia="Times New Roman" w:hAnsi="Times New Roman" w:cs="Times New Roman"/>
          <w:sz w:val="24"/>
          <w:szCs w:val="24"/>
          <w:lang w:val="ru-RU" w:eastAsia="ru-RU"/>
        </w:rPr>
        <w:t>литий-ионного</w:t>
      </w:r>
      <w:proofErr w:type="spellEnd"/>
      <w:r w:rsidRPr="00914608">
        <w:rPr>
          <w:rFonts w:ascii="Times New Roman" w:eastAsia="Times New Roman" w:hAnsi="Times New Roman" w:cs="Times New Roman"/>
          <w:sz w:val="24"/>
          <w:szCs w:val="24"/>
          <w:lang w:val="ru-RU" w:eastAsia="ru-RU"/>
        </w:rPr>
        <w:t xml:space="preserve"> на протяжении большей части жизни, делая омический тест ненадежным. </w:t>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i/>
          <w:iCs/>
          <w:sz w:val="24"/>
          <w:szCs w:val="24"/>
          <w:lang w:val="ru-RU" w:eastAsia="ru-RU"/>
        </w:rPr>
        <w:t>Электрохимический динамический отклик</w:t>
      </w:r>
      <w:proofErr w:type="gramStart"/>
      <w:r w:rsidRPr="00914608">
        <w:rPr>
          <w:rFonts w:ascii="Times New Roman" w:eastAsia="Times New Roman" w:hAnsi="Times New Roman" w:cs="Times New Roman"/>
          <w:sz w:val="24"/>
          <w:szCs w:val="24"/>
          <w:lang w:val="ru-RU" w:eastAsia="ru-RU"/>
        </w:rPr>
        <w:t xml:space="preserve"> ,</w:t>
      </w:r>
      <w:proofErr w:type="gramEnd"/>
      <w:r w:rsidRPr="00914608">
        <w:rPr>
          <w:rFonts w:ascii="Times New Roman" w:eastAsia="Times New Roman" w:hAnsi="Times New Roman" w:cs="Times New Roman"/>
          <w:sz w:val="24"/>
          <w:szCs w:val="24"/>
          <w:lang w:val="ru-RU" w:eastAsia="ru-RU"/>
        </w:rPr>
        <w:t xml:space="preserve"> используемый методом </w:t>
      </w:r>
      <w:proofErr w:type="spellStart"/>
      <w:r w:rsidRPr="00914608">
        <w:rPr>
          <w:rFonts w:ascii="Times New Roman" w:eastAsia="Times New Roman" w:hAnsi="Times New Roman" w:cs="Times New Roman"/>
          <w:sz w:val="24"/>
          <w:szCs w:val="24"/>
          <w:lang w:val="ru-RU" w:eastAsia="ru-RU"/>
        </w:rPr>
        <w:t>QuickSort</w:t>
      </w:r>
      <w:proofErr w:type="spellEnd"/>
      <w:r w:rsidRPr="00914608">
        <w:rPr>
          <w:rFonts w:ascii="Times New Roman" w:eastAsia="Times New Roman" w:hAnsi="Times New Roman" w:cs="Times New Roman"/>
          <w:sz w:val="24"/>
          <w:szCs w:val="24"/>
          <w:lang w:val="ru-RU" w:eastAsia="ru-RU"/>
        </w:rPr>
        <w:t xml:space="preserve"> ™, измеряет подвижность ионного потока между электродами. На основе </w:t>
      </w:r>
      <w:r w:rsidRPr="00914608">
        <w:rPr>
          <w:rFonts w:ascii="Times New Roman" w:eastAsia="Times New Roman" w:hAnsi="Times New Roman" w:cs="Times New Roman"/>
          <w:i/>
          <w:iCs/>
          <w:sz w:val="24"/>
          <w:szCs w:val="24"/>
          <w:lang w:val="ru-RU" w:eastAsia="ru-RU"/>
        </w:rPr>
        <w:t>анализа временной области</w:t>
      </w:r>
      <w:r w:rsidRPr="00914608">
        <w:rPr>
          <w:rFonts w:ascii="Times New Roman" w:eastAsia="Times New Roman" w:hAnsi="Times New Roman" w:cs="Times New Roman"/>
          <w:sz w:val="24"/>
          <w:szCs w:val="24"/>
          <w:lang w:val="ru-RU" w:eastAsia="ru-RU"/>
        </w:rPr>
        <w:t xml:space="preserve"> путем применения коротких импульсов нагрузки измеряется время отклика на атаку и восстановление; алгоритм вычисляет результаты и сравнивает их с набором параметров. Как видно на рисунке 1, хорошая батарея сопротивляется атаке и быстро восстанавливается, тогда как влияние более слабого аккумулятора больше и восстановление происходит медленнее. Рисунок 1 иллюстрирует концепцию технологии. </w:t>
      </w:r>
    </w:p>
    <w:tbl>
      <w:tblPr>
        <w:tblW w:w="0" w:type="auto"/>
        <w:tblCellSpacing w:w="0" w:type="dxa"/>
        <w:tblCellMar>
          <w:left w:w="0" w:type="dxa"/>
          <w:right w:w="0" w:type="dxa"/>
        </w:tblCellMar>
        <w:tblLook w:val="04A0"/>
      </w:tblPr>
      <w:tblGrid>
        <w:gridCol w:w="10320"/>
      </w:tblGrid>
      <w:tr w:rsidR="00914608" w:rsidRPr="00914608" w:rsidTr="00914608">
        <w:trPr>
          <w:trHeight w:val="3343"/>
          <w:tblCellSpacing w:w="0" w:type="dxa"/>
        </w:trPr>
        <w:tc>
          <w:tcPr>
            <w:tcW w:w="6763" w:type="dxa"/>
            <w:vAlign w:val="center"/>
            <w:hideMark/>
          </w:tcPr>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6528625" cy="4143375"/>
                  <wp:effectExtent l="19050" t="0" r="5525" b="0"/>
                  <wp:docPr id="1" name="Рисунок 1" descr="Электрохимический динамический откл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Электрохимический динамический отклик"/>
                          <pic:cNvPicPr>
                            <a:picLocks noChangeAspect="1" noChangeArrowheads="1"/>
                          </pic:cNvPicPr>
                        </pic:nvPicPr>
                        <pic:blipFill>
                          <a:blip r:embed="rId4"/>
                          <a:srcRect/>
                          <a:stretch>
                            <a:fillRect/>
                          </a:stretch>
                        </pic:blipFill>
                        <pic:spPr bwMode="auto">
                          <a:xfrm>
                            <a:off x="0" y="0"/>
                            <a:ext cx="6531192" cy="4145004"/>
                          </a:xfrm>
                          <a:prstGeom prst="rect">
                            <a:avLst/>
                          </a:prstGeom>
                          <a:noFill/>
                          <a:ln w="9525">
                            <a:noFill/>
                            <a:miter lim="800000"/>
                            <a:headEnd/>
                            <a:tailEnd/>
                          </a:ln>
                        </pic:spPr>
                      </pic:pic>
                    </a:graphicData>
                  </a:graphic>
                </wp:inline>
              </w:drawing>
            </w:r>
          </w:p>
        </w:tc>
      </w:tr>
      <w:tr w:rsidR="00914608" w:rsidRPr="00914608" w:rsidTr="00914608">
        <w:trPr>
          <w:trHeight w:val="3343"/>
          <w:tblCellSpacing w:w="0" w:type="dxa"/>
        </w:trPr>
        <w:tc>
          <w:tcPr>
            <w:tcW w:w="6763" w:type="dxa"/>
            <w:vAlign w:val="center"/>
            <w:hideMark/>
          </w:tcPr>
          <w:p w:rsidR="00914608" w:rsidRPr="00914608" w:rsidRDefault="00914608" w:rsidP="00914608">
            <w:pPr>
              <w:spacing w:before="100" w:beforeAutospacing="1" w:after="100" w:afterAutospacing="1"/>
              <w:ind w:left="252" w:firstLine="0"/>
              <w:rPr>
                <w:rFonts w:ascii="Times New Roman" w:eastAsia="Times New Roman" w:hAnsi="Times New Roman" w:cs="Times New Roman"/>
                <w:sz w:val="24"/>
                <w:szCs w:val="24"/>
                <w:lang w:val="ru-RU" w:eastAsia="ru-RU"/>
              </w:rPr>
            </w:pPr>
            <w:r w:rsidRPr="00914608">
              <w:rPr>
                <w:rFonts w:ascii="Times New Roman" w:eastAsia="Times New Roman" w:hAnsi="Times New Roman" w:cs="Times New Roman"/>
                <w:b/>
                <w:bCs/>
                <w:sz w:val="24"/>
                <w:szCs w:val="24"/>
                <w:lang w:val="ru-RU" w:eastAsia="ru-RU"/>
              </w:rPr>
              <w:t>Рисунок 1:</w:t>
            </w:r>
            <w:r w:rsidRPr="00914608">
              <w:rPr>
                <w:rFonts w:ascii="Times New Roman" w:eastAsia="Times New Roman" w:hAnsi="Times New Roman" w:cs="Times New Roman"/>
                <w:sz w:val="24"/>
                <w:szCs w:val="24"/>
                <w:lang w:val="ru-RU" w:eastAsia="ru-RU"/>
              </w:rPr>
              <w:t xml:space="preserve"> </w:t>
            </w:r>
            <w:r w:rsidRPr="00914608">
              <w:rPr>
                <w:rFonts w:ascii="Times New Roman" w:eastAsia="Times New Roman" w:hAnsi="Times New Roman" w:cs="Times New Roman"/>
                <w:b/>
                <w:bCs/>
                <w:sz w:val="24"/>
                <w:szCs w:val="24"/>
                <w:lang w:val="ru-RU" w:eastAsia="ru-RU"/>
              </w:rPr>
              <w:br/>
              <w:t>Электрохимический динамический отклик.</w:t>
            </w:r>
            <w:r w:rsidRPr="00914608">
              <w:rPr>
                <w:rFonts w:ascii="Times New Roman" w:eastAsia="Times New Roman" w:hAnsi="Times New Roman" w:cs="Times New Roman"/>
                <w:sz w:val="24"/>
                <w:szCs w:val="24"/>
                <w:lang w:val="ru-RU" w:eastAsia="ru-RU"/>
              </w:rPr>
              <w:t xml:space="preserve"> </w:t>
            </w:r>
          </w:p>
          <w:p w:rsidR="00914608" w:rsidRPr="00914608" w:rsidRDefault="00914608" w:rsidP="00914608">
            <w:pPr>
              <w:spacing w:before="100" w:beforeAutospacing="1" w:after="100" w:afterAutospacing="1"/>
              <w:ind w:left="252" w:firstLine="0"/>
              <w:rPr>
                <w:rFonts w:ascii="Times New Roman" w:eastAsia="Times New Roman" w:hAnsi="Times New Roman" w:cs="Times New Roman"/>
                <w:sz w:val="24"/>
                <w:szCs w:val="24"/>
                <w:lang w:val="ru-RU" w:eastAsia="ru-RU"/>
              </w:rPr>
            </w:pPr>
            <w:r w:rsidRPr="00914608">
              <w:rPr>
                <w:rFonts w:ascii="Times New Roman" w:eastAsia="Times New Roman" w:hAnsi="Times New Roman" w:cs="Times New Roman"/>
                <w:sz w:val="24"/>
                <w:szCs w:val="24"/>
                <w:lang w:val="ru-RU" w:eastAsia="ru-RU"/>
              </w:rPr>
              <w:t xml:space="preserve">Электрохимический динамический отклик измеряет ионный поток между положительной и отрицательной пластинами. Сильная батарея быстро восстанавливается от атаки, тогда как более слабый пакет ведет себя вяло. </w:t>
            </w:r>
          </w:p>
          <w:p w:rsidR="00914608" w:rsidRPr="00914608" w:rsidRDefault="00914608" w:rsidP="00914608">
            <w:pPr>
              <w:spacing w:before="100" w:beforeAutospacing="1" w:after="100" w:afterAutospacing="1"/>
              <w:ind w:left="252" w:firstLine="0"/>
              <w:rPr>
                <w:rFonts w:ascii="Times New Roman" w:eastAsia="Times New Roman" w:hAnsi="Times New Roman" w:cs="Times New Roman"/>
                <w:sz w:val="24"/>
                <w:szCs w:val="24"/>
                <w:lang w:val="ru-RU" w:eastAsia="ru-RU"/>
              </w:rPr>
            </w:pPr>
            <w:r w:rsidRPr="00914608">
              <w:rPr>
                <w:rFonts w:ascii="Times New Roman" w:eastAsia="Times New Roman" w:hAnsi="Times New Roman" w:cs="Times New Roman"/>
                <w:sz w:val="24"/>
                <w:szCs w:val="24"/>
                <w:vertAlign w:val="superscript"/>
                <w:lang w:val="ru-RU" w:eastAsia="ru-RU"/>
              </w:rPr>
              <w:t>Патент США 7622929;</w:t>
            </w:r>
            <w:r w:rsidRPr="00914608">
              <w:rPr>
                <w:rFonts w:ascii="Times New Roman" w:eastAsia="Times New Roman" w:hAnsi="Times New Roman" w:cs="Times New Roman"/>
                <w:sz w:val="24"/>
                <w:szCs w:val="24"/>
                <w:lang w:val="ru-RU" w:eastAsia="ru-RU"/>
              </w:rPr>
              <w:t xml:space="preserve"> </w:t>
            </w:r>
            <w:r w:rsidRPr="00914608">
              <w:rPr>
                <w:rFonts w:ascii="Times New Roman" w:eastAsia="Times New Roman" w:hAnsi="Times New Roman" w:cs="Times New Roman"/>
                <w:sz w:val="24"/>
                <w:szCs w:val="24"/>
                <w:vertAlign w:val="superscript"/>
                <w:lang w:val="ru-RU" w:eastAsia="ru-RU"/>
              </w:rPr>
              <w:t xml:space="preserve">Предоставлено </w:t>
            </w:r>
            <w:proofErr w:type="spellStart"/>
            <w:r w:rsidRPr="00914608">
              <w:rPr>
                <w:rFonts w:ascii="Times New Roman" w:eastAsia="Times New Roman" w:hAnsi="Times New Roman" w:cs="Times New Roman"/>
                <w:sz w:val="24"/>
                <w:szCs w:val="24"/>
                <w:vertAlign w:val="superscript"/>
                <w:lang w:val="ru-RU" w:eastAsia="ru-RU"/>
              </w:rPr>
              <w:t>Cadex</w:t>
            </w:r>
            <w:proofErr w:type="spellEnd"/>
            <w:r w:rsidRPr="00914608">
              <w:rPr>
                <w:rFonts w:ascii="Times New Roman" w:eastAsia="Times New Roman" w:hAnsi="Times New Roman" w:cs="Times New Roman"/>
                <w:sz w:val="24"/>
                <w:szCs w:val="24"/>
                <w:lang w:val="ru-RU" w:eastAsia="ru-RU"/>
              </w:rPr>
              <w:t xml:space="preserve"> </w:t>
            </w:r>
          </w:p>
        </w:tc>
      </w:tr>
    </w:tbl>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r w:rsidRPr="00914608">
        <w:rPr>
          <w:rFonts w:ascii="Times New Roman" w:eastAsia="Times New Roman" w:hAnsi="Times New Roman" w:cs="Times New Roman"/>
          <w:sz w:val="24"/>
          <w:szCs w:val="24"/>
          <w:lang w:val="ru-RU" w:eastAsia="ru-RU"/>
        </w:rPr>
        <w:br/>
      </w:r>
      <w:proofErr w:type="spellStart"/>
      <w:proofErr w:type="gramStart"/>
      <w:r w:rsidRPr="00914608">
        <w:rPr>
          <w:rFonts w:ascii="Times New Roman" w:eastAsia="Times New Roman" w:hAnsi="Times New Roman" w:cs="Times New Roman"/>
          <w:sz w:val="24"/>
          <w:szCs w:val="24"/>
          <w:lang w:val="ru-RU" w:eastAsia="ru-RU"/>
        </w:rPr>
        <w:t>Литий-ионные</w:t>
      </w:r>
      <w:proofErr w:type="spellEnd"/>
      <w:proofErr w:type="gramEnd"/>
      <w:r w:rsidRPr="00914608">
        <w:rPr>
          <w:rFonts w:ascii="Times New Roman" w:eastAsia="Times New Roman" w:hAnsi="Times New Roman" w:cs="Times New Roman"/>
          <w:sz w:val="24"/>
          <w:szCs w:val="24"/>
          <w:lang w:val="ru-RU" w:eastAsia="ru-RU"/>
        </w:rPr>
        <w:t xml:space="preserve"> аккумуляторы имеют разную скорость диффузии. С точки зрения электрохимической динамической реакции </w:t>
      </w:r>
      <w:proofErr w:type="spellStart"/>
      <w:proofErr w:type="gramStart"/>
      <w:r w:rsidRPr="00914608">
        <w:rPr>
          <w:rFonts w:ascii="Times New Roman" w:eastAsia="Times New Roman" w:hAnsi="Times New Roman" w:cs="Times New Roman"/>
          <w:color w:val="0000FF"/>
          <w:sz w:val="24"/>
          <w:szCs w:val="24"/>
          <w:u w:val="single"/>
          <w:lang w:val="ru-RU" w:eastAsia="ru-RU"/>
        </w:rPr>
        <w:t>литий-ионный</w:t>
      </w:r>
      <w:proofErr w:type="spellEnd"/>
      <w:proofErr w:type="gramEnd"/>
      <w:r w:rsidRPr="00914608">
        <w:rPr>
          <w:rFonts w:ascii="Times New Roman" w:eastAsia="Times New Roman" w:hAnsi="Times New Roman" w:cs="Times New Roman"/>
          <w:color w:val="0000FF"/>
          <w:sz w:val="24"/>
          <w:szCs w:val="24"/>
          <w:u w:val="single"/>
          <w:lang w:val="ru-RU" w:eastAsia="ru-RU"/>
        </w:rPr>
        <w:t xml:space="preserve"> полимер</w:t>
      </w:r>
      <w:r w:rsidRPr="00914608">
        <w:rPr>
          <w:rFonts w:ascii="Times New Roman" w:eastAsia="Times New Roman" w:hAnsi="Times New Roman" w:cs="Times New Roman"/>
          <w:sz w:val="24"/>
          <w:szCs w:val="24"/>
          <w:lang w:val="ru-RU" w:eastAsia="ru-RU"/>
        </w:rPr>
        <w:t xml:space="preserve"> с гелеобразным электролитом оказывается более быстрым, чем стандартный литий-ион, и для достижения точности требуются модифицированные </w:t>
      </w:r>
      <w:r w:rsidRPr="00914608">
        <w:rPr>
          <w:rFonts w:ascii="Times New Roman" w:eastAsia="Times New Roman" w:hAnsi="Times New Roman" w:cs="Times New Roman"/>
          <w:sz w:val="24"/>
          <w:szCs w:val="24"/>
          <w:lang w:val="ru-RU" w:eastAsia="ru-RU"/>
        </w:rPr>
        <w:lastRenderedPageBreak/>
        <w:t xml:space="preserve">параметры. Уникальные активные материалы и добавки, которые хранятся в секрете производителями батарей, затрудняют процедуру тестирования. </w:t>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sz w:val="24"/>
          <w:szCs w:val="24"/>
          <w:lang w:val="ru-RU" w:eastAsia="ru-RU"/>
        </w:rPr>
        <w:br/>
      </w:r>
      <w:proofErr w:type="spellStart"/>
      <w:r w:rsidRPr="00914608">
        <w:rPr>
          <w:rFonts w:ascii="Times New Roman" w:eastAsia="Times New Roman" w:hAnsi="Times New Roman" w:cs="Times New Roman"/>
          <w:sz w:val="24"/>
          <w:szCs w:val="24"/>
          <w:lang w:val="ru-RU" w:eastAsia="ru-RU"/>
        </w:rPr>
        <w:t>Cadex</w:t>
      </w:r>
      <w:proofErr w:type="spellEnd"/>
      <w:r w:rsidRPr="00914608">
        <w:rPr>
          <w:rFonts w:ascii="Times New Roman" w:eastAsia="Times New Roman" w:hAnsi="Times New Roman" w:cs="Times New Roman"/>
          <w:sz w:val="24"/>
          <w:szCs w:val="24"/>
          <w:lang w:val="ru-RU" w:eastAsia="ru-RU"/>
        </w:rPr>
        <w:t xml:space="preserve"> приложил много усилий для тестирования небольшой одиночной </w:t>
      </w:r>
      <w:proofErr w:type="spellStart"/>
      <w:proofErr w:type="gramStart"/>
      <w:r w:rsidRPr="00914608">
        <w:rPr>
          <w:rFonts w:ascii="Times New Roman" w:eastAsia="Times New Roman" w:hAnsi="Times New Roman" w:cs="Times New Roman"/>
          <w:sz w:val="24"/>
          <w:szCs w:val="24"/>
          <w:lang w:val="ru-RU" w:eastAsia="ru-RU"/>
        </w:rPr>
        <w:t>литий-ионной</w:t>
      </w:r>
      <w:proofErr w:type="spellEnd"/>
      <w:proofErr w:type="gramEnd"/>
      <w:r w:rsidRPr="00914608">
        <w:rPr>
          <w:rFonts w:ascii="Times New Roman" w:eastAsia="Times New Roman" w:hAnsi="Times New Roman" w:cs="Times New Roman"/>
          <w:sz w:val="24"/>
          <w:szCs w:val="24"/>
          <w:lang w:val="ru-RU" w:eastAsia="ru-RU"/>
        </w:rPr>
        <w:t xml:space="preserve"> ячейки в мобильных телефонах. Целью является также тестирование более крупного Li-иона в многоэлементной конфигурации в широком диапазоне состояния заряда, что связано с объединением теста во </w:t>
      </w:r>
      <w:r w:rsidRPr="00914608">
        <w:rPr>
          <w:rFonts w:ascii="Times New Roman" w:eastAsia="Times New Roman" w:hAnsi="Times New Roman" w:cs="Times New Roman"/>
          <w:i/>
          <w:iCs/>
          <w:sz w:val="24"/>
          <w:szCs w:val="24"/>
          <w:lang w:val="ru-RU" w:eastAsia="ru-RU"/>
        </w:rPr>
        <w:t>временной области</w:t>
      </w:r>
      <w:r w:rsidRPr="00914608">
        <w:rPr>
          <w:rFonts w:ascii="Times New Roman" w:eastAsia="Times New Roman" w:hAnsi="Times New Roman" w:cs="Times New Roman"/>
          <w:sz w:val="24"/>
          <w:szCs w:val="24"/>
          <w:lang w:val="ru-RU" w:eastAsia="ru-RU"/>
        </w:rPr>
        <w:t xml:space="preserve"> с </w:t>
      </w:r>
      <w:r w:rsidRPr="00914608">
        <w:rPr>
          <w:rFonts w:ascii="Times New Roman" w:eastAsia="Times New Roman" w:hAnsi="Times New Roman" w:cs="Times New Roman"/>
          <w:i/>
          <w:iCs/>
          <w:sz w:val="24"/>
          <w:szCs w:val="24"/>
          <w:lang w:val="ru-RU" w:eastAsia="ru-RU"/>
        </w:rPr>
        <w:t>частотной областью</w:t>
      </w:r>
      <w:proofErr w:type="gramStart"/>
      <w:r w:rsidRPr="00914608">
        <w:rPr>
          <w:rFonts w:ascii="Times New Roman" w:eastAsia="Times New Roman" w:hAnsi="Times New Roman" w:cs="Times New Roman"/>
          <w:sz w:val="24"/>
          <w:szCs w:val="24"/>
          <w:lang w:val="ru-RU" w:eastAsia="ru-RU"/>
        </w:rPr>
        <w:t xml:space="preserve"> .</w:t>
      </w:r>
      <w:proofErr w:type="gramEnd"/>
      <w:r w:rsidRPr="00914608">
        <w:rPr>
          <w:rFonts w:ascii="Times New Roman" w:eastAsia="Times New Roman" w:hAnsi="Times New Roman" w:cs="Times New Roman"/>
          <w:sz w:val="24"/>
          <w:szCs w:val="24"/>
          <w:lang w:val="ru-RU" w:eastAsia="ru-RU"/>
        </w:rPr>
        <w:t xml:space="preserve"> </w:t>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sz w:val="24"/>
          <w:szCs w:val="24"/>
          <w:lang w:val="ru-RU" w:eastAsia="ru-RU"/>
        </w:rPr>
        <w:br/>
        <w:t>При сканировани</w:t>
      </w:r>
      <w:r w:rsidR="00EF20AB">
        <w:rPr>
          <w:rFonts w:ascii="Times New Roman" w:eastAsia="Times New Roman" w:hAnsi="Times New Roman" w:cs="Times New Roman"/>
          <w:sz w:val="24"/>
          <w:szCs w:val="24"/>
          <w:lang w:val="ru-RU" w:eastAsia="ru-RU"/>
        </w:rPr>
        <w:t xml:space="preserve">и батареи от килогерца до </w:t>
      </w:r>
      <w:proofErr w:type="spellStart"/>
      <w:r w:rsidR="00EF20AB">
        <w:rPr>
          <w:rFonts w:ascii="Times New Roman" w:eastAsia="Times New Roman" w:hAnsi="Times New Roman" w:cs="Times New Roman"/>
          <w:sz w:val="24"/>
          <w:szCs w:val="24"/>
          <w:lang w:val="ru-RU" w:eastAsia="ru-RU"/>
        </w:rPr>
        <w:t>миллиг</w:t>
      </w:r>
      <w:r w:rsidRPr="00914608">
        <w:rPr>
          <w:rFonts w:ascii="Times New Roman" w:eastAsia="Times New Roman" w:hAnsi="Times New Roman" w:cs="Times New Roman"/>
          <w:sz w:val="24"/>
          <w:szCs w:val="24"/>
          <w:lang w:val="ru-RU" w:eastAsia="ru-RU"/>
        </w:rPr>
        <w:t>ерца</w:t>
      </w:r>
      <w:proofErr w:type="spellEnd"/>
      <w:r w:rsidRPr="00914608">
        <w:rPr>
          <w:rFonts w:ascii="Times New Roman" w:eastAsia="Times New Roman" w:hAnsi="Times New Roman" w:cs="Times New Roman"/>
          <w:sz w:val="24"/>
          <w:szCs w:val="24"/>
          <w:lang w:val="ru-RU" w:eastAsia="ru-RU"/>
        </w:rPr>
        <w:t xml:space="preserve"> в режиме частотной области высокочастотный диапазон, называемый </w:t>
      </w:r>
      <w:r w:rsidRPr="00914608">
        <w:rPr>
          <w:rFonts w:ascii="Times New Roman" w:eastAsia="Times New Roman" w:hAnsi="Times New Roman" w:cs="Times New Roman"/>
          <w:i/>
          <w:iCs/>
          <w:sz w:val="24"/>
          <w:szCs w:val="24"/>
          <w:lang w:val="ru-RU" w:eastAsia="ru-RU"/>
        </w:rPr>
        <w:t>миграцией,</w:t>
      </w:r>
      <w:r w:rsidRPr="00914608">
        <w:rPr>
          <w:rFonts w:ascii="Times New Roman" w:eastAsia="Times New Roman" w:hAnsi="Times New Roman" w:cs="Times New Roman"/>
          <w:sz w:val="24"/>
          <w:szCs w:val="24"/>
          <w:lang w:val="ru-RU" w:eastAsia="ru-RU"/>
        </w:rPr>
        <w:t xml:space="preserve"> показывает резистивные свойства батареи, которые представляют собой представление о ландшафте с высоты птичьего полета. Однако уникальные характеристики </w:t>
      </w:r>
      <w:proofErr w:type="spellStart"/>
      <w:r w:rsidRPr="00914608">
        <w:rPr>
          <w:rFonts w:ascii="Times New Roman" w:eastAsia="Times New Roman" w:hAnsi="Times New Roman" w:cs="Times New Roman"/>
          <w:sz w:val="24"/>
          <w:szCs w:val="24"/>
          <w:lang w:val="ru-RU" w:eastAsia="ru-RU"/>
        </w:rPr>
        <w:t>Li-ion</w:t>
      </w:r>
      <w:proofErr w:type="spellEnd"/>
      <w:r w:rsidRPr="00914608">
        <w:rPr>
          <w:rFonts w:ascii="Times New Roman" w:eastAsia="Times New Roman" w:hAnsi="Times New Roman" w:cs="Times New Roman"/>
          <w:sz w:val="24"/>
          <w:szCs w:val="24"/>
          <w:lang w:val="ru-RU" w:eastAsia="ru-RU"/>
        </w:rPr>
        <w:t xml:space="preserve"> лежат в диапазоне средней частоты, называемом </w:t>
      </w:r>
      <w:r w:rsidRPr="00914608">
        <w:rPr>
          <w:rFonts w:ascii="Times New Roman" w:eastAsia="Times New Roman" w:hAnsi="Times New Roman" w:cs="Times New Roman"/>
          <w:i/>
          <w:iCs/>
          <w:sz w:val="24"/>
          <w:szCs w:val="24"/>
          <w:lang w:val="ru-RU" w:eastAsia="ru-RU"/>
        </w:rPr>
        <w:t>переносом заряда,</w:t>
      </w:r>
      <w:r w:rsidRPr="00914608">
        <w:rPr>
          <w:rFonts w:ascii="Times New Roman" w:eastAsia="Times New Roman" w:hAnsi="Times New Roman" w:cs="Times New Roman"/>
          <w:sz w:val="24"/>
          <w:szCs w:val="24"/>
          <w:lang w:val="ru-RU" w:eastAsia="ru-RU"/>
        </w:rPr>
        <w:t xml:space="preserve"> и </w:t>
      </w:r>
      <w:r w:rsidRPr="00914608">
        <w:rPr>
          <w:rFonts w:ascii="Times New Roman" w:eastAsia="Times New Roman" w:hAnsi="Times New Roman" w:cs="Times New Roman"/>
          <w:i/>
          <w:iCs/>
          <w:sz w:val="24"/>
          <w:szCs w:val="24"/>
          <w:lang w:val="ru-RU" w:eastAsia="ru-RU"/>
        </w:rPr>
        <w:t>диффузией</w:t>
      </w:r>
      <w:r w:rsidRPr="00914608">
        <w:rPr>
          <w:rFonts w:ascii="Times New Roman" w:eastAsia="Times New Roman" w:hAnsi="Times New Roman" w:cs="Times New Roman"/>
          <w:sz w:val="24"/>
          <w:szCs w:val="24"/>
          <w:lang w:val="ru-RU" w:eastAsia="ru-RU"/>
        </w:rPr>
        <w:t xml:space="preserve"> с низким диапазоном. Батареи с выцветшей емкостью страдают от низкой передачи заряда и медленной активной диффуз</w:t>
      </w:r>
      <w:proofErr w:type="gramStart"/>
      <w:r w:rsidRPr="00914608">
        <w:rPr>
          <w:rFonts w:ascii="Times New Roman" w:eastAsia="Times New Roman" w:hAnsi="Times New Roman" w:cs="Times New Roman"/>
          <w:sz w:val="24"/>
          <w:szCs w:val="24"/>
          <w:lang w:val="ru-RU" w:eastAsia="ru-RU"/>
        </w:rPr>
        <w:t>ии ио</w:t>
      </w:r>
      <w:proofErr w:type="gramEnd"/>
      <w:r w:rsidRPr="00914608">
        <w:rPr>
          <w:rFonts w:ascii="Times New Roman" w:eastAsia="Times New Roman" w:hAnsi="Times New Roman" w:cs="Times New Roman"/>
          <w:sz w:val="24"/>
          <w:szCs w:val="24"/>
          <w:lang w:val="ru-RU" w:eastAsia="ru-RU"/>
        </w:rPr>
        <w:t xml:space="preserve">нов. </w:t>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sz w:val="24"/>
          <w:szCs w:val="24"/>
          <w:lang w:val="ru-RU" w:eastAsia="ru-RU"/>
        </w:rPr>
        <w:br/>
        <w:t xml:space="preserve">Оценка батарей на частоте ниже одного герца потребует длительного времени тестирования. Например, для одного </w:t>
      </w:r>
      <w:proofErr w:type="spellStart"/>
      <w:r w:rsidRPr="00914608">
        <w:rPr>
          <w:rFonts w:ascii="Times New Roman" w:eastAsia="Times New Roman" w:hAnsi="Times New Roman" w:cs="Times New Roman"/>
          <w:sz w:val="24"/>
          <w:szCs w:val="24"/>
          <w:lang w:val="ru-RU" w:eastAsia="ru-RU"/>
        </w:rPr>
        <w:t>миллигерца</w:t>
      </w:r>
      <w:proofErr w:type="spellEnd"/>
      <w:r w:rsidRPr="00914608">
        <w:rPr>
          <w:rFonts w:ascii="Times New Roman" w:eastAsia="Times New Roman" w:hAnsi="Times New Roman" w:cs="Times New Roman"/>
          <w:sz w:val="24"/>
          <w:szCs w:val="24"/>
          <w:lang w:val="ru-RU" w:eastAsia="ru-RU"/>
        </w:rPr>
        <w:t xml:space="preserve"> один цикл занимает 1000 секунд или 16 минут, а для завершения анализа требуется несколько точек данных. Быстрые тесты должны длиться всего несколько секунд и не более 5 минут. С помощью умного моделирования программного обеспечения продолжительнос</w:t>
      </w:r>
      <w:r w:rsidR="00EF20AB">
        <w:rPr>
          <w:rFonts w:ascii="Times New Roman" w:eastAsia="Times New Roman" w:hAnsi="Times New Roman" w:cs="Times New Roman"/>
          <w:sz w:val="24"/>
          <w:szCs w:val="24"/>
          <w:lang w:val="ru-RU" w:eastAsia="ru-RU"/>
        </w:rPr>
        <w:t>ть может быть сокращена, чтобы уложиться</w:t>
      </w:r>
      <w:r w:rsidRPr="00914608">
        <w:rPr>
          <w:rFonts w:ascii="Times New Roman" w:eastAsia="Times New Roman" w:hAnsi="Times New Roman" w:cs="Times New Roman"/>
          <w:sz w:val="24"/>
          <w:szCs w:val="24"/>
          <w:lang w:val="ru-RU" w:eastAsia="ru-RU"/>
        </w:rPr>
        <w:t xml:space="preserve"> в течение требуемого короткого времени тестирования. </w:t>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sz w:val="24"/>
          <w:szCs w:val="24"/>
          <w:lang w:val="ru-RU" w:eastAsia="ru-RU"/>
        </w:rPr>
        <w:br/>
        <w:t>На рисунке 2 хорошая батарея и выцветшая батарея сканируются от 0,1 Гц до 1 кГц. Разница в импедансе (-</w:t>
      </w:r>
      <w:proofErr w:type="spellStart"/>
      <w:r w:rsidRPr="00914608">
        <w:rPr>
          <w:rFonts w:ascii="Times New Roman" w:eastAsia="Times New Roman" w:hAnsi="Times New Roman" w:cs="Times New Roman"/>
          <w:sz w:val="24"/>
          <w:szCs w:val="24"/>
          <w:lang w:val="ru-RU" w:eastAsia="ru-RU"/>
        </w:rPr>
        <w:t>Imp</w:t>
      </w:r>
      <w:proofErr w:type="spellEnd"/>
      <w:r w:rsidRPr="00914608">
        <w:rPr>
          <w:rFonts w:ascii="Times New Roman" w:eastAsia="Times New Roman" w:hAnsi="Times New Roman" w:cs="Times New Roman"/>
          <w:sz w:val="24"/>
          <w:szCs w:val="24"/>
          <w:lang w:val="ru-RU" w:eastAsia="ru-RU"/>
        </w:rPr>
        <w:t xml:space="preserve"> -Z) наиболее сильная между 1 Гц и 10 Гц. Следует отметить, что захват резистивных показаний сам по себе имеет ограниченное значение, так как состояние заряда (</w:t>
      </w:r>
      <w:proofErr w:type="spellStart"/>
      <w:r w:rsidRPr="00914608">
        <w:rPr>
          <w:rFonts w:ascii="Times New Roman" w:eastAsia="Times New Roman" w:hAnsi="Times New Roman" w:cs="Times New Roman"/>
          <w:sz w:val="24"/>
          <w:szCs w:val="24"/>
          <w:lang w:val="ru-RU" w:eastAsia="ru-RU"/>
        </w:rPr>
        <w:t>SoC</w:t>
      </w:r>
      <w:proofErr w:type="spellEnd"/>
      <w:r w:rsidRPr="00914608">
        <w:rPr>
          <w:rFonts w:ascii="Times New Roman" w:eastAsia="Times New Roman" w:hAnsi="Times New Roman" w:cs="Times New Roman"/>
          <w:sz w:val="24"/>
          <w:szCs w:val="24"/>
          <w:lang w:val="ru-RU" w:eastAsia="ru-RU"/>
        </w:rPr>
        <w:t xml:space="preserve">) и температура также влияют на сигнатуры </w:t>
      </w:r>
      <w:proofErr w:type="spellStart"/>
      <w:r w:rsidRPr="00914608">
        <w:rPr>
          <w:rFonts w:ascii="Times New Roman" w:eastAsia="Times New Roman" w:hAnsi="Times New Roman" w:cs="Times New Roman"/>
          <w:sz w:val="24"/>
          <w:szCs w:val="24"/>
          <w:lang w:val="ru-RU" w:eastAsia="ru-RU"/>
        </w:rPr>
        <w:t>SoH</w:t>
      </w:r>
      <w:proofErr w:type="spellEnd"/>
      <w:r w:rsidRPr="00914608">
        <w:rPr>
          <w:rFonts w:ascii="Times New Roman" w:eastAsia="Times New Roman" w:hAnsi="Times New Roman" w:cs="Times New Roman"/>
          <w:sz w:val="24"/>
          <w:szCs w:val="24"/>
          <w:lang w:val="ru-RU" w:eastAsia="ru-RU"/>
        </w:rPr>
        <w:t xml:space="preserve"> сигнатуры и путаницы. Кроме того, различные </w:t>
      </w:r>
      <w:proofErr w:type="spellStart"/>
      <w:proofErr w:type="gramStart"/>
      <w:r w:rsidRPr="00914608">
        <w:rPr>
          <w:rFonts w:ascii="Times New Roman" w:eastAsia="Times New Roman" w:hAnsi="Times New Roman" w:cs="Times New Roman"/>
          <w:sz w:val="24"/>
          <w:szCs w:val="24"/>
          <w:lang w:val="ru-RU" w:eastAsia="ru-RU"/>
        </w:rPr>
        <w:t>литий-ионные</w:t>
      </w:r>
      <w:proofErr w:type="spellEnd"/>
      <w:proofErr w:type="gramEnd"/>
      <w:r w:rsidRPr="00914608">
        <w:rPr>
          <w:rFonts w:ascii="Times New Roman" w:eastAsia="Times New Roman" w:hAnsi="Times New Roman" w:cs="Times New Roman"/>
          <w:sz w:val="24"/>
          <w:szCs w:val="24"/>
          <w:lang w:val="ru-RU" w:eastAsia="ru-RU"/>
        </w:rPr>
        <w:t xml:space="preserve"> архитектуры и то, как батарея стареет, также влияют на результаты. Естественное старение создает другую подпись, чем искусственное старение, и причина этого несоответствия не полностью понята.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876925" cy="3009024"/>
            <wp:effectExtent l="19050" t="0" r="9525" b="0"/>
            <wp:docPr id="2" name="Рисунок 2" descr="QS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SMS"/>
                    <pic:cNvPicPr>
                      <a:picLocks noChangeAspect="1" noChangeArrowheads="1"/>
                    </pic:cNvPicPr>
                  </pic:nvPicPr>
                  <pic:blipFill>
                    <a:blip r:embed="rId5"/>
                    <a:srcRect/>
                    <a:stretch>
                      <a:fillRect/>
                    </a:stretch>
                  </pic:blipFill>
                  <pic:spPr bwMode="auto">
                    <a:xfrm>
                      <a:off x="0" y="0"/>
                      <a:ext cx="5885003" cy="3013160"/>
                    </a:xfrm>
                    <a:prstGeom prst="rect">
                      <a:avLst/>
                    </a:prstGeom>
                    <a:noFill/>
                    <a:ln w="9525">
                      <a:noFill/>
                      <a:miter lim="800000"/>
                      <a:headEnd/>
                      <a:tailEnd/>
                    </a:ln>
                  </pic:spPr>
                </pic:pic>
              </a:graphicData>
            </a:graphic>
          </wp:inline>
        </w:drawing>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b/>
          <w:bCs/>
          <w:sz w:val="24"/>
          <w:szCs w:val="24"/>
          <w:lang w:val="ru-RU" w:eastAsia="ru-RU"/>
        </w:rPr>
        <w:t>Рисунок 2: Частотная проверка хороших и слабых батарей мобильных телефонов.</w:t>
      </w:r>
      <w:r w:rsidRPr="00914608">
        <w:rPr>
          <w:rFonts w:ascii="Times New Roman" w:eastAsia="Times New Roman" w:hAnsi="Times New Roman" w:cs="Times New Roman"/>
          <w:sz w:val="24"/>
          <w:szCs w:val="24"/>
          <w:lang w:val="ru-RU" w:eastAsia="ru-RU"/>
        </w:rPr>
        <w:t xml:space="preserve"> </w:t>
      </w:r>
      <w:r w:rsidRPr="00914608">
        <w:rPr>
          <w:rFonts w:ascii="Times New Roman" w:eastAsia="Times New Roman" w:hAnsi="Times New Roman" w:cs="Times New Roman"/>
          <w:sz w:val="24"/>
          <w:szCs w:val="24"/>
          <w:lang w:val="ru-RU" w:eastAsia="ru-RU"/>
        </w:rPr>
        <w:br/>
        <w:t xml:space="preserve">Отклонения импеданса наиболее заметны ниже 10 Гц. Горизонтальная шкала </w:t>
      </w:r>
      <w:proofErr w:type="spellStart"/>
      <w:r w:rsidRPr="00914608">
        <w:rPr>
          <w:rFonts w:ascii="Times New Roman" w:eastAsia="Times New Roman" w:hAnsi="Times New Roman" w:cs="Times New Roman"/>
          <w:sz w:val="24"/>
          <w:szCs w:val="24"/>
          <w:lang w:val="ru-RU" w:eastAsia="ru-RU"/>
        </w:rPr>
        <w:t>логарифмична</w:t>
      </w:r>
      <w:proofErr w:type="spellEnd"/>
      <w:r w:rsidRPr="00914608">
        <w:rPr>
          <w:rFonts w:ascii="Times New Roman" w:eastAsia="Times New Roman" w:hAnsi="Times New Roman" w:cs="Times New Roman"/>
          <w:sz w:val="24"/>
          <w:szCs w:val="24"/>
          <w:lang w:val="ru-RU" w:eastAsia="ru-RU"/>
        </w:rPr>
        <w:t xml:space="preserve"> для уплотнения диапазона частот. </w:t>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sz w:val="24"/>
          <w:szCs w:val="24"/>
          <w:vertAlign w:val="superscript"/>
          <w:lang w:val="ru-RU" w:eastAsia="ru-RU"/>
        </w:rPr>
        <w:t xml:space="preserve">Предоставлено </w:t>
      </w:r>
      <w:proofErr w:type="spellStart"/>
      <w:r w:rsidRPr="00914608">
        <w:rPr>
          <w:rFonts w:ascii="Times New Roman" w:eastAsia="Times New Roman" w:hAnsi="Times New Roman" w:cs="Times New Roman"/>
          <w:sz w:val="24"/>
          <w:szCs w:val="24"/>
          <w:vertAlign w:val="superscript"/>
          <w:lang w:val="ru-RU" w:eastAsia="ru-RU"/>
        </w:rPr>
        <w:t>Cadex</w:t>
      </w:r>
      <w:proofErr w:type="spellEnd"/>
      <w:r w:rsidRPr="00914608">
        <w:rPr>
          <w:rFonts w:ascii="Times New Roman" w:eastAsia="Times New Roman" w:hAnsi="Times New Roman" w:cs="Times New Roman"/>
          <w:sz w:val="24"/>
          <w:szCs w:val="24"/>
          <w:lang w:val="ru-RU" w:eastAsia="ru-RU"/>
        </w:rPr>
        <w:t xml:space="preserve">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r w:rsidRPr="00914608">
        <w:rPr>
          <w:rFonts w:ascii="Times New Roman" w:eastAsia="Times New Roman" w:hAnsi="Times New Roman" w:cs="Times New Roman"/>
          <w:sz w:val="24"/>
          <w:szCs w:val="24"/>
          <w:lang w:val="ru-RU" w:eastAsia="ru-RU"/>
        </w:rPr>
        <w:t xml:space="preserve">Результаты тестов, полученные по частотной области, лучше всего представлены </w:t>
      </w:r>
      <w:r w:rsidRPr="00914608">
        <w:rPr>
          <w:rFonts w:ascii="Times New Roman" w:eastAsia="Times New Roman" w:hAnsi="Times New Roman" w:cs="Times New Roman"/>
          <w:i/>
          <w:iCs/>
          <w:sz w:val="24"/>
          <w:szCs w:val="24"/>
          <w:lang w:val="ru-RU" w:eastAsia="ru-RU"/>
        </w:rPr>
        <w:t>графиком Найквиста</w:t>
      </w:r>
      <w:proofErr w:type="gramStart"/>
      <w:r w:rsidRPr="00914608">
        <w:rPr>
          <w:rFonts w:ascii="Times New Roman" w:eastAsia="Times New Roman" w:hAnsi="Times New Roman" w:cs="Times New Roman"/>
          <w:sz w:val="24"/>
          <w:szCs w:val="24"/>
          <w:lang w:val="ru-RU" w:eastAsia="ru-RU"/>
        </w:rPr>
        <w:t xml:space="preserve"> .</w:t>
      </w:r>
      <w:proofErr w:type="gramEnd"/>
      <w:r w:rsidRPr="00914608">
        <w:rPr>
          <w:rFonts w:ascii="Times New Roman" w:eastAsia="Times New Roman" w:hAnsi="Times New Roman" w:cs="Times New Roman"/>
          <w:sz w:val="24"/>
          <w:szCs w:val="24"/>
          <w:lang w:val="ru-RU" w:eastAsia="ru-RU"/>
        </w:rPr>
        <w:t xml:space="preserve"> Изобретал </w:t>
      </w:r>
      <w:r w:rsidRPr="00914608">
        <w:rPr>
          <w:rFonts w:ascii="Times New Roman" w:eastAsia="Times New Roman" w:hAnsi="Times New Roman" w:cs="Times New Roman"/>
          <w:i/>
          <w:iCs/>
          <w:sz w:val="24"/>
          <w:szCs w:val="24"/>
          <w:lang w:val="ru-RU" w:eastAsia="ru-RU"/>
        </w:rPr>
        <w:t>Гарри Найквист</w:t>
      </w:r>
      <w:r w:rsidRPr="00914608">
        <w:rPr>
          <w:rFonts w:ascii="Times New Roman" w:eastAsia="Times New Roman" w:hAnsi="Times New Roman" w:cs="Times New Roman"/>
          <w:sz w:val="24"/>
          <w:szCs w:val="24"/>
          <w:lang w:val="ru-RU" w:eastAsia="ru-RU"/>
        </w:rPr>
        <w:t xml:space="preserve"> (1889-1976) в лаборатории </w:t>
      </w:r>
      <w:proofErr w:type="spellStart"/>
      <w:r w:rsidRPr="00914608">
        <w:rPr>
          <w:rFonts w:ascii="Times New Roman" w:eastAsia="Times New Roman" w:hAnsi="Times New Roman" w:cs="Times New Roman"/>
          <w:sz w:val="24"/>
          <w:szCs w:val="24"/>
          <w:lang w:val="ru-RU" w:eastAsia="ru-RU"/>
        </w:rPr>
        <w:t>Bell</w:t>
      </w:r>
      <w:proofErr w:type="spellEnd"/>
      <w:r w:rsidRPr="00914608">
        <w:rPr>
          <w:rFonts w:ascii="Times New Roman" w:eastAsia="Times New Roman" w:hAnsi="Times New Roman" w:cs="Times New Roman"/>
          <w:sz w:val="24"/>
          <w:szCs w:val="24"/>
          <w:lang w:val="ru-RU" w:eastAsia="ru-RU"/>
        </w:rPr>
        <w:t xml:space="preserve"> </w:t>
      </w:r>
      <w:proofErr w:type="spellStart"/>
      <w:r w:rsidRPr="00914608">
        <w:rPr>
          <w:rFonts w:ascii="Times New Roman" w:eastAsia="Times New Roman" w:hAnsi="Times New Roman" w:cs="Times New Roman"/>
          <w:sz w:val="24"/>
          <w:szCs w:val="24"/>
          <w:lang w:val="ru-RU" w:eastAsia="ru-RU"/>
        </w:rPr>
        <w:t>Laboratories</w:t>
      </w:r>
      <w:proofErr w:type="spellEnd"/>
      <w:r w:rsidRPr="00914608">
        <w:rPr>
          <w:rFonts w:ascii="Times New Roman" w:eastAsia="Times New Roman" w:hAnsi="Times New Roman" w:cs="Times New Roman"/>
          <w:sz w:val="24"/>
          <w:szCs w:val="24"/>
          <w:lang w:val="ru-RU" w:eastAsia="ru-RU"/>
        </w:rPr>
        <w:t xml:space="preserve">; график Найквиста представляет частотную характеристику линейных систем, отображающих как амплитуду, так и фазовый угол на одном графике с использованием частоты в качестве параметра. Горизонтальная ось X графика Найквиста показывает реальный импеданс Ом, а вертикальная ось </w:t>
      </w:r>
      <w:proofErr w:type="spellStart"/>
      <w:r w:rsidRPr="00914608">
        <w:rPr>
          <w:rFonts w:ascii="Times New Roman" w:eastAsia="Times New Roman" w:hAnsi="Times New Roman" w:cs="Times New Roman"/>
          <w:sz w:val="24"/>
          <w:szCs w:val="24"/>
          <w:lang w:val="ru-RU" w:eastAsia="ru-RU"/>
        </w:rPr>
        <w:t>y</w:t>
      </w:r>
      <w:proofErr w:type="spellEnd"/>
      <w:r w:rsidRPr="00914608">
        <w:rPr>
          <w:rFonts w:ascii="Times New Roman" w:eastAsia="Times New Roman" w:hAnsi="Times New Roman" w:cs="Times New Roman"/>
          <w:sz w:val="24"/>
          <w:szCs w:val="24"/>
          <w:lang w:val="ru-RU" w:eastAsia="ru-RU"/>
        </w:rPr>
        <w:t xml:space="preserve"> представляет собой мнимый импеданс. (Импеданс объясняется на </w:t>
      </w:r>
      <w:r w:rsidRPr="00914608">
        <w:rPr>
          <w:rFonts w:ascii="Times New Roman" w:eastAsia="Times New Roman" w:hAnsi="Times New Roman" w:cs="Times New Roman"/>
          <w:color w:val="0000FF"/>
          <w:sz w:val="24"/>
          <w:szCs w:val="24"/>
          <w:u w:val="single"/>
          <w:lang w:val="ru-RU" w:eastAsia="ru-RU"/>
        </w:rPr>
        <w:t>Как измерить внутреннее сопротивление</w:t>
      </w:r>
      <w:proofErr w:type="gramStart"/>
      <w:r w:rsidRPr="00914608">
        <w:rPr>
          <w:rFonts w:ascii="Times New Roman" w:eastAsia="Times New Roman" w:hAnsi="Times New Roman" w:cs="Times New Roman"/>
          <w:sz w:val="24"/>
          <w:szCs w:val="24"/>
          <w:lang w:val="ru-RU" w:eastAsia="ru-RU"/>
        </w:rPr>
        <w:t xml:space="preserve"> )</w:t>
      </w:r>
      <w:proofErr w:type="gramEnd"/>
      <w:r w:rsidRPr="00914608">
        <w:rPr>
          <w:rFonts w:ascii="Times New Roman" w:eastAsia="Times New Roman" w:hAnsi="Times New Roman" w:cs="Times New Roman"/>
          <w:sz w:val="24"/>
          <w:szCs w:val="24"/>
          <w:lang w:val="ru-RU" w:eastAsia="ru-RU"/>
        </w:rPr>
        <w:t xml:space="preserve"> </w:t>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sz w:val="24"/>
          <w:szCs w:val="24"/>
          <w:lang w:val="ru-RU" w:eastAsia="ru-RU"/>
        </w:rPr>
        <w:br/>
        <w:t xml:space="preserve">Рисунок 3 делит результаты отсканированных батарей, полученные по графику Найквиста, на </w:t>
      </w:r>
      <w:r w:rsidRPr="00914608">
        <w:rPr>
          <w:rFonts w:ascii="Times New Roman" w:eastAsia="Times New Roman" w:hAnsi="Times New Roman" w:cs="Times New Roman"/>
          <w:sz w:val="24"/>
          <w:szCs w:val="24"/>
          <w:lang w:val="ru-RU" w:eastAsia="ru-RU"/>
        </w:rPr>
        <w:lastRenderedPageBreak/>
        <w:t xml:space="preserve">миграцию, перенос заряда и диффузию. Миграция, полученная с высокой частотой слева, обеспечивает резистивные характеристики батареи; </w:t>
      </w:r>
      <w:proofErr w:type="spellStart"/>
      <w:r w:rsidRPr="00914608">
        <w:rPr>
          <w:rFonts w:ascii="Times New Roman" w:eastAsia="Times New Roman" w:hAnsi="Times New Roman" w:cs="Times New Roman"/>
          <w:sz w:val="24"/>
          <w:szCs w:val="24"/>
          <w:lang w:val="ru-RU" w:eastAsia="ru-RU"/>
        </w:rPr>
        <w:t>всезначительная</w:t>
      </w:r>
      <w:proofErr w:type="spellEnd"/>
      <w:r w:rsidRPr="00914608">
        <w:rPr>
          <w:rFonts w:ascii="Times New Roman" w:eastAsia="Times New Roman" w:hAnsi="Times New Roman" w:cs="Times New Roman"/>
          <w:sz w:val="24"/>
          <w:szCs w:val="24"/>
          <w:lang w:val="ru-RU" w:eastAsia="ru-RU"/>
        </w:rPr>
        <w:t xml:space="preserve"> передача заряда в середине образует полукруг, который представляет кинетику батареи; а низкочастотная часть справа представляет собой диффузию.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876925" cy="2903010"/>
            <wp:effectExtent l="19050" t="0" r="9525" b="0"/>
            <wp:docPr id="3" name="Рисунок 3" descr="Найквис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айквиста"/>
                    <pic:cNvPicPr>
                      <a:picLocks noChangeAspect="1" noChangeArrowheads="1"/>
                    </pic:cNvPicPr>
                  </pic:nvPicPr>
                  <pic:blipFill>
                    <a:blip r:embed="rId6"/>
                    <a:srcRect/>
                    <a:stretch>
                      <a:fillRect/>
                    </a:stretch>
                  </pic:blipFill>
                  <pic:spPr bwMode="auto">
                    <a:xfrm>
                      <a:off x="0" y="0"/>
                      <a:ext cx="5879714" cy="2904387"/>
                    </a:xfrm>
                    <a:prstGeom prst="rect">
                      <a:avLst/>
                    </a:prstGeom>
                    <a:noFill/>
                    <a:ln w="9525">
                      <a:noFill/>
                      <a:miter lim="800000"/>
                      <a:headEnd/>
                      <a:tailEnd/>
                    </a:ln>
                  </pic:spPr>
                </pic:pic>
              </a:graphicData>
            </a:graphic>
          </wp:inline>
        </w:drawing>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b/>
          <w:bCs/>
          <w:sz w:val="24"/>
          <w:szCs w:val="24"/>
          <w:lang w:val="ru-RU" w:eastAsia="ru-RU"/>
        </w:rPr>
        <w:t>Рисунок 3: График</w:t>
      </w:r>
      <w:r w:rsidRPr="00914608">
        <w:rPr>
          <w:rFonts w:ascii="Times New Roman" w:eastAsia="Times New Roman" w:hAnsi="Times New Roman" w:cs="Times New Roman"/>
          <w:sz w:val="24"/>
          <w:szCs w:val="24"/>
          <w:lang w:val="ru-RU" w:eastAsia="ru-RU"/>
        </w:rPr>
        <w:t xml:space="preserve"> </w:t>
      </w:r>
      <w:r w:rsidRPr="00914608">
        <w:rPr>
          <w:rFonts w:ascii="Times New Roman" w:eastAsia="Times New Roman" w:hAnsi="Times New Roman" w:cs="Times New Roman"/>
          <w:b/>
          <w:bCs/>
          <w:sz w:val="24"/>
          <w:szCs w:val="24"/>
          <w:lang w:val="ru-RU" w:eastAsia="ru-RU"/>
        </w:rPr>
        <w:t>Найквиста разделен на секции с высоким, средним и низким частотами.</w:t>
      </w:r>
      <w:r w:rsidRPr="00914608">
        <w:rPr>
          <w:rFonts w:ascii="Times New Roman" w:eastAsia="Times New Roman" w:hAnsi="Times New Roman" w:cs="Times New Roman"/>
          <w:sz w:val="24"/>
          <w:szCs w:val="24"/>
          <w:lang w:val="ru-RU" w:eastAsia="ru-RU"/>
        </w:rPr>
        <w:t xml:space="preserve"> </w:t>
      </w:r>
      <w:r w:rsidRPr="00914608">
        <w:rPr>
          <w:rFonts w:ascii="Times New Roman" w:eastAsia="Times New Roman" w:hAnsi="Times New Roman" w:cs="Times New Roman"/>
          <w:sz w:val="24"/>
          <w:szCs w:val="24"/>
          <w:lang w:val="ru-RU" w:eastAsia="ru-RU"/>
        </w:rPr>
        <w:br/>
        <w:t xml:space="preserve">Среднечастотный полукруг представляет лучшие характеристики батареи. Большие батареи требуют более низких частот. </w:t>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sz w:val="24"/>
          <w:szCs w:val="24"/>
          <w:vertAlign w:val="superscript"/>
          <w:lang w:val="ru-RU" w:eastAsia="ru-RU"/>
        </w:rPr>
        <w:t xml:space="preserve">Предоставлено </w:t>
      </w:r>
      <w:proofErr w:type="spellStart"/>
      <w:r w:rsidRPr="00914608">
        <w:rPr>
          <w:rFonts w:ascii="Times New Roman" w:eastAsia="Times New Roman" w:hAnsi="Times New Roman" w:cs="Times New Roman"/>
          <w:sz w:val="24"/>
          <w:szCs w:val="24"/>
          <w:vertAlign w:val="superscript"/>
          <w:lang w:val="ru-RU" w:eastAsia="ru-RU"/>
        </w:rPr>
        <w:t>Cadex</w:t>
      </w:r>
      <w:proofErr w:type="spellEnd"/>
      <w:r w:rsidRPr="00914608">
        <w:rPr>
          <w:rFonts w:ascii="Times New Roman" w:eastAsia="Times New Roman" w:hAnsi="Times New Roman" w:cs="Times New Roman"/>
          <w:sz w:val="24"/>
          <w:szCs w:val="24"/>
          <w:lang w:val="ru-RU" w:eastAsia="ru-RU"/>
        </w:rPr>
        <w:t xml:space="preserve">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r w:rsidRPr="00914608">
        <w:rPr>
          <w:rFonts w:ascii="Times New Roman" w:eastAsia="Times New Roman" w:hAnsi="Times New Roman" w:cs="Times New Roman"/>
          <w:sz w:val="24"/>
          <w:szCs w:val="24"/>
          <w:lang w:val="ru-RU" w:eastAsia="ru-RU"/>
        </w:rPr>
        <w:t xml:space="preserve">Литий-ион имеет сходство </w:t>
      </w:r>
      <w:proofErr w:type="gramStart"/>
      <w:r w:rsidRPr="00914608">
        <w:rPr>
          <w:rFonts w:ascii="Times New Roman" w:eastAsia="Times New Roman" w:hAnsi="Times New Roman" w:cs="Times New Roman"/>
          <w:sz w:val="24"/>
          <w:szCs w:val="24"/>
          <w:lang w:val="ru-RU" w:eastAsia="ru-RU"/>
        </w:rPr>
        <w:t>с</w:t>
      </w:r>
      <w:proofErr w:type="gramEnd"/>
      <w:r w:rsidRPr="00914608">
        <w:rPr>
          <w:rFonts w:ascii="Times New Roman" w:eastAsia="Times New Roman" w:hAnsi="Times New Roman" w:cs="Times New Roman"/>
          <w:sz w:val="24"/>
          <w:szCs w:val="24"/>
          <w:lang w:val="ru-RU" w:eastAsia="ru-RU"/>
        </w:rPr>
        <w:t xml:space="preserve"> свинцовой кислотой; технология </w:t>
      </w:r>
      <w:proofErr w:type="spellStart"/>
      <w:r w:rsidRPr="00914608">
        <w:rPr>
          <w:rFonts w:ascii="Times New Roman" w:eastAsia="Times New Roman" w:hAnsi="Times New Roman" w:cs="Times New Roman"/>
          <w:sz w:val="24"/>
          <w:szCs w:val="24"/>
          <w:lang w:val="ru-RU" w:eastAsia="ru-RU"/>
        </w:rPr>
        <w:t>Spectro</w:t>
      </w:r>
      <w:proofErr w:type="spellEnd"/>
      <w:r w:rsidRPr="00914608">
        <w:rPr>
          <w:rFonts w:ascii="Times New Roman" w:eastAsia="Times New Roman" w:hAnsi="Times New Roman" w:cs="Times New Roman"/>
          <w:sz w:val="24"/>
          <w:szCs w:val="24"/>
          <w:lang w:val="ru-RU" w:eastAsia="ru-RU"/>
        </w:rPr>
        <w:t xml:space="preserve"> ™, которая используется для измерения емкости свинцово-кислотных батарей, также сможет обслуживать </w:t>
      </w:r>
      <w:proofErr w:type="spellStart"/>
      <w:r w:rsidRPr="00914608">
        <w:rPr>
          <w:rFonts w:ascii="Times New Roman" w:eastAsia="Times New Roman" w:hAnsi="Times New Roman" w:cs="Times New Roman"/>
          <w:sz w:val="24"/>
          <w:szCs w:val="24"/>
          <w:lang w:val="ru-RU" w:eastAsia="ru-RU"/>
        </w:rPr>
        <w:t>Li-ion</w:t>
      </w:r>
      <w:proofErr w:type="spellEnd"/>
      <w:r w:rsidRPr="00914608">
        <w:rPr>
          <w:rFonts w:ascii="Times New Roman" w:eastAsia="Times New Roman" w:hAnsi="Times New Roman" w:cs="Times New Roman"/>
          <w:sz w:val="24"/>
          <w:szCs w:val="24"/>
          <w:lang w:val="ru-RU" w:eastAsia="ru-RU"/>
        </w:rPr>
        <w:t xml:space="preserve">. (См. </w:t>
      </w:r>
      <w:r w:rsidRPr="00914608">
        <w:rPr>
          <w:rFonts w:ascii="Times New Roman" w:eastAsia="Times New Roman" w:hAnsi="Times New Roman" w:cs="Times New Roman"/>
          <w:color w:val="0000FF"/>
          <w:sz w:val="24"/>
          <w:szCs w:val="24"/>
          <w:u w:val="single"/>
          <w:lang w:val="ru-RU" w:eastAsia="ru-RU"/>
        </w:rPr>
        <w:t xml:space="preserve"> Как измерить емкость</w:t>
      </w:r>
      <w:proofErr w:type="gramStart"/>
      <w:r w:rsidRPr="00914608">
        <w:rPr>
          <w:rFonts w:ascii="Times New Roman" w:eastAsia="Times New Roman" w:hAnsi="Times New Roman" w:cs="Times New Roman"/>
          <w:sz w:val="24"/>
          <w:szCs w:val="24"/>
          <w:lang w:val="ru-RU" w:eastAsia="ru-RU"/>
        </w:rPr>
        <w:t xml:space="preserve"> )</w:t>
      </w:r>
      <w:proofErr w:type="gramEnd"/>
      <w:r w:rsidRPr="00914608">
        <w:rPr>
          <w:rFonts w:ascii="Times New Roman" w:eastAsia="Times New Roman" w:hAnsi="Times New Roman" w:cs="Times New Roman"/>
          <w:sz w:val="24"/>
          <w:szCs w:val="24"/>
          <w:lang w:val="ru-RU" w:eastAsia="ru-RU"/>
        </w:rPr>
        <w:t xml:space="preserve"> </w:t>
      </w:r>
    </w:p>
    <w:p w:rsidR="00914608" w:rsidRPr="00914608" w:rsidRDefault="00914608" w:rsidP="00914608">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914608">
        <w:rPr>
          <w:rFonts w:ascii="Times New Roman" w:eastAsia="Times New Roman" w:hAnsi="Times New Roman" w:cs="Times New Roman"/>
          <w:b/>
          <w:bCs/>
          <w:sz w:val="36"/>
          <w:szCs w:val="36"/>
          <w:lang w:val="ru-RU" w:eastAsia="ru-RU"/>
        </w:rPr>
        <w:t xml:space="preserve">Резюме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r w:rsidRPr="00914608">
        <w:rPr>
          <w:rFonts w:ascii="Times New Roman" w:eastAsia="Times New Roman" w:hAnsi="Times New Roman" w:cs="Times New Roman"/>
          <w:sz w:val="24"/>
          <w:szCs w:val="24"/>
          <w:lang w:val="ru-RU" w:eastAsia="ru-RU"/>
        </w:rPr>
        <w:t xml:space="preserve">Никакой экспресс-тест не может оценить все симптомы батареи, и всегда есть выбросы, которые не соответствуют протоколу тестирования. Правильное предсказание должно быть 9 из 10. </w:t>
      </w:r>
      <w:proofErr w:type="spellStart"/>
      <w:r w:rsidRPr="00914608">
        <w:rPr>
          <w:rFonts w:ascii="Times New Roman" w:eastAsia="Times New Roman" w:hAnsi="Times New Roman" w:cs="Times New Roman"/>
          <w:sz w:val="24"/>
          <w:szCs w:val="24"/>
          <w:lang w:val="ru-RU" w:eastAsia="ru-RU"/>
        </w:rPr>
        <w:t>QuickSort</w:t>
      </w:r>
      <w:proofErr w:type="spellEnd"/>
      <w:r w:rsidRPr="00914608">
        <w:rPr>
          <w:rFonts w:ascii="Times New Roman" w:eastAsia="Times New Roman" w:hAnsi="Times New Roman" w:cs="Times New Roman"/>
          <w:sz w:val="24"/>
          <w:szCs w:val="24"/>
          <w:lang w:val="ru-RU" w:eastAsia="ru-RU"/>
        </w:rPr>
        <w:t xml:space="preserve"> ™ (от </w:t>
      </w:r>
      <w:proofErr w:type="spellStart"/>
      <w:r w:rsidRPr="00914608">
        <w:rPr>
          <w:rFonts w:ascii="Times New Roman" w:eastAsia="Times New Roman" w:hAnsi="Times New Roman" w:cs="Times New Roman"/>
          <w:sz w:val="24"/>
          <w:szCs w:val="24"/>
          <w:lang w:val="ru-RU" w:eastAsia="ru-RU"/>
        </w:rPr>
        <w:t>Cadex</w:t>
      </w:r>
      <w:proofErr w:type="spellEnd"/>
      <w:r w:rsidRPr="00914608">
        <w:rPr>
          <w:rFonts w:ascii="Times New Roman" w:eastAsia="Times New Roman" w:hAnsi="Times New Roman" w:cs="Times New Roman"/>
          <w:sz w:val="24"/>
          <w:szCs w:val="24"/>
          <w:lang w:val="ru-RU" w:eastAsia="ru-RU"/>
        </w:rPr>
        <w:t xml:space="preserve">) превышает это требование в большинстве </w:t>
      </w:r>
      <w:proofErr w:type="spellStart"/>
      <w:proofErr w:type="gramStart"/>
      <w:r w:rsidRPr="00914608">
        <w:rPr>
          <w:rFonts w:ascii="Times New Roman" w:eastAsia="Times New Roman" w:hAnsi="Times New Roman" w:cs="Times New Roman"/>
          <w:sz w:val="24"/>
          <w:szCs w:val="24"/>
          <w:lang w:val="ru-RU" w:eastAsia="ru-RU"/>
        </w:rPr>
        <w:t>литий-ионных</w:t>
      </w:r>
      <w:proofErr w:type="spellEnd"/>
      <w:proofErr w:type="gramEnd"/>
      <w:r w:rsidRPr="00914608">
        <w:rPr>
          <w:rFonts w:ascii="Times New Roman" w:eastAsia="Times New Roman" w:hAnsi="Times New Roman" w:cs="Times New Roman"/>
          <w:sz w:val="24"/>
          <w:szCs w:val="24"/>
          <w:lang w:val="ru-RU" w:eastAsia="ru-RU"/>
        </w:rPr>
        <w:t xml:space="preserve"> пакетов для мобильных телефонов, но эта технология проверяет только одноячеечные пакеты до 1500 </w:t>
      </w:r>
      <w:proofErr w:type="spellStart"/>
      <w:r w:rsidRPr="00914608">
        <w:rPr>
          <w:rFonts w:ascii="Times New Roman" w:eastAsia="Times New Roman" w:hAnsi="Times New Roman" w:cs="Times New Roman"/>
          <w:sz w:val="24"/>
          <w:szCs w:val="24"/>
          <w:lang w:val="ru-RU" w:eastAsia="ru-RU"/>
        </w:rPr>
        <w:t>мАч</w:t>
      </w:r>
      <w:proofErr w:type="spellEnd"/>
      <w:r w:rsidRPr="00914608">
        <w:rPr>
          <w:rFonts w:ascii="Times New Roman" w:eastAsia="Times New Roman" w:hAnsi="Times New Roman" w:cs="Times New Roman"/>
          <w:sz w:val="24"/>
          <w:szCs w:val="24"/>
          <w:lang w:val="ru-RU" w:eastAsia="ru-RU"/>
        </w:rPr>
        <w:t xml:space="preserve">. Новые технологии в разработке обещают протестировать большие </w:t>
      </w:r>
      <w:proofErr w:type="spellStart"/>
      <w:proofErr w:type="gramStart"/>
      <w:r w:rsidRPr="00914608">
        <w:rPr>
          <w:rFonts w:ascii="Times New Roman" w:eastAsia="Times New Roman" w:hAnsi="Times New Roman" w:cs="Times New Roman"/>
          <w:sz w:val="24"/>
          <w:szCs w:val="24"/>
          <w:lang w:val="ru-RU" w:eastAsia="ru-RU"/>
        </w:rPr>
        <w:t>литий-ионные</w:t>
      </w:r>
      <w:proofErr w:type="spellEnd"/>
      <w:proofErr w:type="gramEnd"/>
      <w:r w:rsidRPr="00914608">
        <w:rPr>
          <w:rFonts w:ascii="Times New Roman" w:eastAsia="Times New Roman" w:hAnsi="Times New Roman" w:cs="Times New Roman"/>
          <w:sz w:val="24"/>
          <w:szCs w:val="24"/>
          <w:lang w:val="ru-RU" w:eastAsia="ru-RU"/>
        </w:rPr>
        <w:t xml:space="preserve"> пакеты, но это может продлить тест до нескольких минут, чтобы обеспечить низкочастотную выборку. </w:t>
      </w:r>
      <w:r w:rsidRPr="00914608">
        <w:rPr>
          <w:rFonts w:ascii="Times New Roman" w:eastAsia="Times New Roman" w:hAnsi="Times New Roman" w:cs="Times New Roman"/>
          <w:sz w:val="24"/>
          <w:szCs w:val="24"/>
          <w:lang w:val="ru-RU" w:eastAsia="ru-RU"/>
        </w:rPr>
        <w:br/>
      </w:r>
      <w:r w:rsidRPr="00914608">
        <w:rPr>
          <w:rFonts w:ascii="Times New Roman" w:eastAsia="Times New Roman" w:hAnsi="Times New Roman" w:cs="Times New Roman"/>
          <w:sz w:val="24"/>
          <w:szCs w:val="24"/>
          <w:lang w:val="ru-RU" w:eastAsia="ru-RU"/>
        </w:rPr>
        <w:br/>
        <w:t xml:space="preserve">Емкость - это хранитель ворот для здоровья батареи, а технологии быстрой проверки с оценкой мощности также улучшают </w:t>
      </w:r>
      <w:r w:rsidRPr="00914608">
        <w:rPr>
          <w:rFonts w:ascii="Times New Roman" w:eastAsia="Times New Roman" w:hAnsi="Times New Roman" w:cs="Times New Roman"/>
          <w:color w:val="0000FF"/>
          <w:sz w:val="24"/>
          <w:szCs w:val="24"/>
          <w:u w:val="single"/>
          <w:lang w:val="ru-RU" w:eastAsia="ru-RU"/>
        </w:rPr>
        <w:t>системы управления батареями (BMS)</w:t>
      </w:r>
      <w:r w:rsidRPr="00914608">
        <w:rPr>
          <w:rFonts w:ascii="Times New Roman" w:eastAsia="Times New Roman" w:hAnsi="Times New Roman" w:cs="Times New Roman"/>
          <w:sz w:val="24"/>
          <w:szCs w:val="24"/>
          <w:lang w:val="ru-RU" w:eastAsia="ru-RU"/>
        </w:rPr>
        <w:t xml:space="preserve"> . Такие технологии быстрого тестирования могут быть включены в зарядные устройства для оценки целостности батареи при каждом заряде, если зеленый свет готов только в том случае, если установленная целевая мощность выполнена; Батареи низкой емкости показаны </w:t>
      </w:r>
      <w:proofErr w:type="spellStart"/>
      <w:r w:rsidRPr="00914608">
        <w:rPr>
          <w:rFonts w:ascii="Times New Roman" w:eastAsia="Times New Roman" w:hAnsi="Times New Roman" w:cs="Times New Roman"/>
          <w:sz w:val="24"/>
          <w:szCs w:val="24"/>
          <w:lang w:val="ru-RU" w:eastAsia="ru-RU"/>
        </w:rPr>
        <w:t>бэкдором</w:t>
      </w:r>
      <w:proofErr w:type="spellEnd"/>
      <w:r w:rsidRPr="00914608">
        <w:rPr>
          <w:rFonts w:ascii="Times New Roman" w:eastAsia="Times New Roman" w:hAnsi="Times New Roman" w:cs="Times New Roman"/>
          <w:sz w:val="24"/>
          <w:szCs w:val="24"/>
          <w:lang w:val="ru-RU" w:eastAsia="ru-RU"/>
        </w:rPr>
        <w:t xml:space="preserve">. Это обеспечивает контроль качества без добавления дополнительного уровня накладных расходов.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r w:rsidRPr="00914608">
        <w:rPr>
          <w:rFonts w:ascii="Times New Roman" w:eastAsia="Times New Roman" w:hAnsi="Times New Roman" w:cs="Times New Roman"/>
          <w:sz w:val="24"/>
          <w:szCs w:val="24"/>
          <w:lang w:val="ru-RU" w:eastAsia="ru-RU"/>
        </w:rPr>
        <w:t>Последнее обновление: 2017-01-10</w:t>
      </w:r>
    </w:p>
    <w:p w:rsidR="00914608" w:rsidRPr="00914608" w:rsidRDefault="00914608" w:rsidP="00914608">
      <w:pPr>
        <w:ind w:left="0" w:firstLine="0"/>
        <w:rPr>
          <w:rFonts w:ascii="Times New Roman" w:eastAsia="Times New Roman" w:hAnsi="Times New Roman" w:cs="Times New Roman"/>
          <w:sz w:val="24"/>
          <w:szCs w:val="24"/>
          <w:lang w:val="ru-RU" w:eastAsia="ru-RU"/>
        </w:rPr>
      </w:pPr>
    </w:p>
    <w:p w:rsidR="00914608" w:rsidRPr="00914608" w:rsidRDefault="00914608" w:rsidP="00914608">
      <w:pPr>
        <w:spacing w:before="100" w:beforeAutospacing="1" w:after="100" w:afterAutospacing="1"/>
        <w:ind w:left="0" w:firstLine="0"/>
        <w:outlineLvl w:val="0"/>
        <w:rPr>
          <w:rFonts w:ascii="Times New Roman" w:eastAsia="Times New Roman" w:hAnsi="Times New Roman" w:cs="Times New Roman"/>
          <w:b/>
          <w:bCs/>
          <w:kern w:val="36"/>
          <w:sz w:val="48"/>
          <w:szCs w:val="48"/>
          <w:lang w:val="en-US" w:eastAsia="ru-RU"/>
        </w:rPr>
      </w:pPr>
      <w:r w:rsidRPr="00914608">
        <w:rPr>
          <w:rFonts w:ascii="Times New Roman" w:eastAsia="Times New Roman" w:hAnsi="Times New Roman" w:cs="Times New Roman"/>
          <w:b/>
          <w:bCs/>
          <w:kern w:val="36"/>
          <w:sz w:val="48"/>
          <w:szCs w:val="48"/>
          <w:lang w:val="en-US" w:eastAsia="ru-RU"/>
        </w:rPr>
        <w:t xml:space="preserve">Testing Lithium-based Batteries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r w:rsidRPr="00914608">
        <w:rPr>
          <w:rFonts w:ascii="Times New Roman" w:eastAsia="Times New Roman" w:hAnsi="Times New Roman" w:cs="Times New Roman"/>
          <w:b/>
          <w:bCs/>
          <w:sz w:val="24"/>
          <w:szCs w:val="24"/>
          <w:lang w:val="en-US" w:eastAsia="ru-RU"/>
        </w:rPr>
        <w:t>Explore new methods and know about the limitations.</w:t>
      </w:r>
      <w:r w:rsidRPr="00914608">
        <w:rPr>
          <w:rFonts w:ascii="Times New Roman" w:eastAsia="Times New Roman" w:hAnsi="Times New Roman" w:cs="Times New Roman"/>
          <w:sz w:val="24"/>
          <w:szCs w:val="24"/>
          <w:lang w:val="en-US" w:eastAsia="ru-RU"/>
        </w:rPr>
        <w:t xml:space="preserve"> </w:t>
      </w:r>
      <w:r w:rsidRPr="00914608">
        <w:rPr>
          <w:rFonts w:ascii="Times New Roman" w:eastAsia="Times New Roman" w:hAnsi="Times New Roman" w:cs="Times New Roman"/>
          <w:sz w:val="24"/>
          <w:szCs w:val="24"/>
          <w:lang w:val="en-US" w:eastAsia="ru-RU"/>
        </w:rPr>
        <w:br/>
      </w:r>
      <w:r w:rsidRPr="00914608">
        <w:rPr>
          <w:rFonts w:ascii="Times New Roman" w:eastAsia="Times New Roman" w:hAnsi="Times New Roman" w:cs="Times New Roman"/>
          <w:sz w:val="24"/>
          <w:szCs w:val="24"/>
          <w:lang w:val="en-US" w:eastAsia="ru-RU"/>
        </w:rPr>
        <w:br/>
        <w:t xml:space="preserve">With the large number of lithium-ion batteries in use and the applications growing, a functional rapid-testing method is becoming a necessity. Several attempts have been tried, including measuring internal resistance, and the results have been mixed. Additives keep the internal resistance of modern Li-ion low throughout most of the </w:t>
      </w:r>
      <w:r w:rsidRPr="00914608">
        <w:rPr>
          <w:rFonts w:ascii="Times New Roman" w:eastAsia="Times New Roman" w:hAnsi="Times New Roman" w:cs="Times New Roman"/>
          <w:sz w:val="24"/>
          <w:szCs w:val="24"/>
          <w:lang w:val="en-US" w:eastAsia="ru-RU"/>
        </w:rPr>
        <w:lastRenderedPageBreak/>
        <w:t xml:space="preserve">life, making ohmic test unreliable. </w:t>
      </w:r>
      <w:r w:rsidRPr="00914608">
        <w:rPr>
          <w:rFonts w:ascii="Times New Roman" w:eastAsia="Times New Roman" w:hAnsi="Times New Roman" w:cs="Times New Roman"/>
          <w:sz w:val="24"/>
          <w:szCs w:val="24"/>
          <w:lang w:val="en-US" w:eastAsia="ru-RU"/>
        </w:rPr>
        <w:br/>
      </w:r>
      <w:r w:rsidRPr="00914608">
        <w:rPr>
          <w:rFonts w:ascii="Times New Roman" w:eastAsia="Times New Roman" w:hAnsi="Times New Roman" w:cs="Times New Roman"/>
          <w:sz w:val="24"/>
          <w:szCs w:val="24"/>
          <w:lang w:val="en-US" w:eastAsia="ru-RU"/>
        </w:rPr>
        <w:br/>
      </w:r>
      <w:r w:rsidRPr="00914608">
        <w:rPr>
          <w:rFonts w:ascii="Times New Roman" w:eastAsia="Times New Roman" w:hAnsi="Times New Roman" w:cs="Times New Roman"/>
          <w:i/>
          <w:iCs/>
          <w:sz w:val="24"/>
          <w:szCs w:val="24"/>
          <w:lang w:val="en-US" w:eastAsia="ru-RU"/>
        </w:rPr>
        <w:t xml:space="preserve">Electrochemical dynamic </w:t>
      </w:r>
      <w:proofErr w:type="gramStart"/>
      <w:r w:rsidRPr="00914608">
        <w:rPr>
          <w:rFonts w:ascii="Times New Roman" w:eastAsia="Times New Roman" w:hAnsi="Times New Roman" w:cs="Times New Roman"/>
          <w:i/>
          <w:iCs/>
          <w:sz w:val="24"/>
          <w:szCs w:val="24"/>
          <w:lang w:val="en-US" w:eastAsia="ru-RU"/>
        </w:rPr>
        <w:t>response</w:t>
      </w:r>
      <w:r w:rsidRPr="00914608">
        <w:rPr>
          <w:rFonts w:ascii="Times New Roman" w:eastAsia="Times New Roman" w:hAnsi="Times New Roman" w:cs="Times New Roman"/>
          <w:sz w:val="24"/>
          <w:szCs w:val="24"/>
          <w:lang w:val="en-US" w:eastAsia="ru-RU"/>
        </w:rPr>
        <w:t xml:space="preserve"> ,</w:t>
      </w:r>
      <w:proofErr w:type="gramEnd"/>
      <w:r w:rsidRPr="00914608">
        <w:rPr>
          <w:rFonts w:ascii="Times New Roman" w:eastAsia="Times New Roman" w:hAnsi="Times New Roman" w:cs="Times New Roman"/>
          <w:sz w:val="24"/>
          <w:szCs w:val="24"/>
          <w:lang w:val="en-US" w:eastAsia="ru-RU"/>
        </w:rPr>
        <w:t xml:space="preserve"> the method QuickSort™ uses, measures the mobility of ion flow between the electrodes. Based on </w:t>
      </w:r>
      <w:r w:rsidRPr="00914608">
        <w:rPr>
          <w:rFonts w:ascii="Times New Roman" w:eastAsia="Times New Roman" w:hAnsi="Times New Roman" w:cs="Times New Roman"/>
          <w:i/>
          <w:iCs/>
          <w:sz w:val="24"/>
          <w:szCs w:val="24"/>
          <w:lang w:val="en-US" w:eastAsia="ru-RU"/>
        </w:rPr>
        <w:t>time domain analysis</w:t>
      </w:r>
      <w:r w:rsidRPr="00914608">
        <w:rPr>
          <w:rFonts w:ascii="Times New Roman" w:eastAsia="Times New Roman" w:hAnsi="Times New Roman" w:cs="Times New Roman"/>
          <w:sz w:val="24"/>
          <w:szCs w:val="24"/>
          <w:lang w:val="en-US" w:eastAsia="ru-RU"/>
        </w:rPr>
        <w:t xml:space="preserve"> by applying brief load pulses, the response time on attack and recovery is measured; an algorithm computes the results and compares them against a set of parameters. As seen in Figure 1, a good battery resists the attack and recovers quickly whereas the impact of a weaker battery is larger and the recovery is slower. </w:t>
      </w:r>
      <w:proofErr w:type="spellStart"/>
      <w:r w:rsidRPr="00914608">
        <w:rPr>
          <w:rFonts w:ascii="Times New Roman" w:eastAsia="Times New Roman" w:hAnsi="Times New Roman" w:cs="Times New Roman"/>
          <w:sz w:val="24"/>
          <w:szCs w:val="24"/>
          <w:lang w:val="ru-RU" w:eastAsia="ru-RU"/>
        </w:rPr>
        <w:t>Figure</w:t>
      </w:r>
      <w:proofErr w:type="spellEnd"/>
      <w:r w:rsidRPr="00914608">
        <w:rPr>
          <w:rFonts w:ascii="Times New Roman" w:eastAsia="Times New Roman" w:hAnsi="Times New Roman" w:cs="Times New Roman"/>
          <w:sz w:val="24"/>
          <w:szCs w:val="24"/>
          <w:lang w:val="ru-RU" w:eastAsia="ru-RU"/>
        </w:rPr>
        <w:t xml:space="preserve"> 1 </w:t>
      </w:r>
      <w:proofErr w:type="spellStart"/>
      <w:r w:rsidRPr="00914608">
        <w:rPr>
          <w:rFonts w:ascii="Times New Roman" w:eastAsia="Times New Roman" w:hAnsi="Times New Roman" w:cs="Times New Roman"/>
          <w:sz w:val="24"/>
          <w:szCs w:val="24"/>
          <w:lang w:val="ru-RU" w:eastAsia="ru-RU"/>
        </w:rPr>
        <w:t>illustrates</w:t>
      </w:r>
      <w:proofErr w:type="spellEnd"/>
      <w:r w:rsidRPr="00914608">
        <w:rPr>
          <w:rFonts w:ascii="Times New Roman" w:eastAsia="Times New Roman" w:hAnsi="Times New Roman" w:cs="Times New Roman"/>
          <w:sz w:val="24"/>
          <w:szCs w:val="24"/>
          <w:lang w:val="ru-RU" w:eastAsia="ru-RU"/>
        </w:rPr>
        <w:t xml:space="preserve"> </w:t>
      </w:r>
      <w:proofErr w:type="spellStart"/>
      <w:r w:rsidRPr="00914608">
        <w:rPr>
          <w:rFonts w:ascii="Times New Roman" w:eastAsia="Times New Roman" w:hAnsi="Times New Roman" w:cs="Times New Roman"/>
          <w:sz w:val="24"/>
          <w:szCs w:val="24"/>
          <w:lang w:val="ru-RU" w:eastAsia="ru-RU"/>
        </w:rPr>
        <w:t>the</w:t>
      </w:r>
      <w:proofErr w:type="spellEnd"/>
      <w:r w:rsidRPr="00914608">
        <w:rPr>
          <w:rFonts w:ascii="Times New Roman" w:eastAsia="Times New Roman" w:hAnsi="Times New Roman" w:cs="Times New Roman"/>
          <w:sz w:val="24"/>
          <w:szCs w:val="24"/>
          <w:lang w:val="ru-RU" w:eastAsia="ru-RU"/>
        </w:rPr>
        <w:t xml:space="preserve"> </w:t>
      </w:r>
      <w:proofErr w:type="spellStart"/>
      <w:r w:rsidRPr="00914608">
        <w:rPr>
          <w:rFonts w:ascii="Times New Roman" w:eastAsia="Times New Roman" w:hAnsi="Times New Roman" w:cs="Times New Roman"/>
          <w:sz w:val="24"/>
          <w:szCs w:val="24"/>
          <w:lang w:val="ru-RU" w:eastAsia="ru-RU"/>
        </w:rPr>
        <w:t>concept</w:t>
      </w:r>
      <w:proofErr w:type="spellEnd"/>
      <w:r w:rsidRPr="00914608">
        <w:rPr>
          <w:rFonts w:ascii="Times New Roman" w:eastAsia="Times New Roman" w:hAnsi="Times New Roman" w:cs="Times New Roman"/>
          <w:sz w:val="24"/>
          <w:szCs w:val="24"/>
          <w:lang w:val="ru-RU" w:eastAsia="ru-RU"/>
        </w:rPr>
        <w:t xml:space="preserve"> </w:t>
      </w:r>
      <w:proofErr w:type="spellStart"/>
      <w:r w:rsidRPr="00914608">
        <w:rPr>
          <w:rFonts w:ascii="Times New Roman" w:eastAsia="Times New Roman" w:hAnsi="Times New Roman" w:cs="Times New Roman"/>
          <w:sz w:val="24"/>
          <w:szCs w:val="24"/>
          <w:lang w:val="ru-RU" w:eastAsia="ru-RU"/>
        </w:rPr>
        <w:t>of</w:t>
      </w:r>
      <w:proofErr w:type="spellEnd"/>
      <w:r w:rsidRPr="00914608">
        <w:rPr>
          <w:rFonts w:ascii="Times New Roman" w:eastAsia="Times New Roman" w:hAnsi="Times New Roman" w:cs="Times New Roman"/>
          <w:sz w:val="24"/>
          <w:szCs w:val="24"/>
          <w:lang w:val="ru-RU" w:eastAsia="ru-RU"/>
        </w:rPr>
        <w:t xml:space="preserve"> </w:t>
      </w:r>
      <w:proofErr w:type="spellStart"/>
      <w:r w:rsidRPr="00914608">
        <w:rPr>
          <w:rFonts w:ascii="Times New Roman" w:eastAsia="Times New Roman" w:hAnsi="Times New Roman" w:cs="Times New Roman"/>
          <w:sz w:val="24"/>
          <w:szCs w:val="24"/>
          <w:lang w:val="ru-RU" w:eastAsia="ru-RU"/>
        </w:rPr>
        <w:t>the</w:t>
      </w:r>
      <w:proofErr w:type="spellEnd"/>
      <w:r w:rsidRPr="00914608">
        <w:rPr>
          <w:rFonts w:ascii="Times New Roman" w:eastAsia="Times New Roman" w:hAnsi="Times New Roman" w:cs="Times New Roman"/>
          <w:sz w:val="24"/>
          <w:szCs w:val="24"/>
          <w:lang w:val="ru-RU" w:eastAsia="ru-RU"/>
        </w:rPr>
        <w:t xml:space="preserve"> </w:t>
      </w:r>
      <w:proofErr w:type="spellStart"/>
      <w:r w:rsidRPr="00914608">
        <w:rPr>
          <w:rFonts w:ascii="Times New Roman" w:eastAsia="Times New Roman" w:hAnsi="Times New Roman" w:cs="Times New Roman"/>
          <w:sz w:val="24"/>
          <w:szCs w:val="24"/>
          <w:lang w:val="ru-RU" w:eastAsia="ru-RU"/>
        </w:rPr>
        <w:t>technology</w:t>
      </w:r>
      <w:proofErr w:type="spellEnd"/>
      <w:r w:rsidRPr="00914608">
        <w:rPr>
          <w:rFonts w:ascii="Times New Roman" w:eastAsia="Times New Roman" w:hAnsi="Times New Roman" w:cs="Times New Roman"/>
          <w:sz w:val="24"/>
          <w:szCs w:val="24"/>
          <w:lang w:val="ru-RU" w:eastAsia="ru-RU"/>
        </w:rPr>
        <w:t xml:space="preserve">. </w:t>
      </w:r>
    </w:p>
    <w:tbl>
      <w:tblPr>
        <w:tblW w:w="0" w:type="auto"/>
        <w:tblCellSpacing w:w="0" w:type="dxa"/>
        <w:tblCellMar>
          <w:left w:w="0" w:type="dxa"/>
          <w:right w:w="0" w:type="dxa"/>
        </w:tblCellMar>
        <w:tblLook w:val="04A0"/>
      </w:tblPr>
      <w:tblGrid>
        <w:gridCol w:w="10410"/>
      </w:tblGrid>
      <w:tr w:rsidR="00914608" w:rsidRPr="00914608" w:rsidTr="00914608">
        <w:trPr>
          <w:trHeight w:val="3343"/>
          <w:tblCellSpacing w:w="0" w:type="dxa"/>
        </w:trPr>
        <w:tc>
          <w:tcPr>
            <w:tcW w:w="6763" w:type="dxa"/>
            <w:vAlign w:val="center"/>
            <w:hideMark/>
          </w:tcPr>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6588657" cy="4181475"/>
                  <wp:effectExtent l="19050" t="0" r="2643" b="0"/>
                  <wp:docPr id="8" name="Рисунок 8" descr="Electrochemical dynamic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lectrochemical dynamic response"/>
                          <pic:cNvPicPr>
                            <a:picLocks noChangeAspect="1" noChangeArrowheads="1"/>
                          </pic:cNvPicPr>
                        </pic:nvPicPr>
                        <pic:blipFill>
                          <a:blip r:embed="rId4"/>
                          <a:srcRect/>
                          <a:stretch>
                            <a:fillRect/>
                          </a:stretch>
                        </pic:blipFill>
                        <pic:spPr bwMode="auto">
                          <a:xfrm>
                            <a:off x="0" y="0"/>
                            <a:ext cx="6603378" cy="4190817"/>
                          </a:xfrm>
                          <a:prstGeom prst="rect">
                            <a:avLst/>
                          </a:prstGeom>
                          <a:noFill/>
                          <a:ln w="9525">
                            <a:noFill/>
                            <a:miter lim="800000"/>
                            <a:headEnd/>
                            <a:tailEnd/>
                          </a:ln>
                        </pic:spPr>
                      </pic:pic>
                    </a:graphicData>
                  </a:graphic>
                </wp:inline>
              </w:drawing>
            </w:r>
          </w:p>
        </w:tc>
      </w:tr>
      <w:tr w:rsidR="00914608" w:rsidRPr="00914608" w:rsidTr="00914608">
        <w:trPr>
          <w:trHeight w:val="3343"/>
          <w:tblCellSpacing w:w="0" w:type="dxa"/>
        </w:trPr>
        <w:tc>
          <w:tcPr>
            <w:tcW w:w="6763" w:type="dxa"/>
            <w:vAlign w:val="center"/>
            <w:hideMark/>
          </w:tcPr>
          <w:p w:rsidR="00914608" w:rsidRPr="00914608" w:rsidRDefault="00914608" w:rsidP="00914608">
            <w:pPr>
              <w:spacing w:before="100" w:beforeAutospacing="1" w:after="100" w:afterAutospacing="1"/>
              <w:ind w:left="252" w:firstLine="0"/>
              <w:rPr>
                <w:rFonts w:ascii="Times New Roman" w:eastAsia="Times New Roman" w:hAnsi="Times New Roman" w:cs="Times New Roman"/>
                <w:sz w:val="24"/>
                <w:szCs w:val="24"/>
                <w:lang w:val="en-US" w:eastAsia="ru-RU"/>
              </w:rPr>
            </w:pPr>
            <w:r w:rsidRPr="00914608">
              <w:rPr>
                <w:rFonts w:ascii="Times New Roman" w:eastAsia="Times New Roman" w:hAnsi="Times New Roman" w:cs="Times New Roman"/>
                <w:b/>
                <w:bCs/>
                <w:sz w:val="24"/>
                <w:szCs w:val="24"/>
                <w:lang w:val="en-US" w:eastAsia="ru-RU"/>
              </w:rPr>
              <w:t>Figure 1:</w:t>
            </w:r>
            <w:r w:rsidRPr="00914608">
              <w:rPr>
                <w:rFonts w:ascii="Times New Roman" w:eastAsia="Times New Roman" w:hAnsi="Times New Roman" w:cs="Times New Roman"/>
                <w:sz w:val="24"/>
                <w:szCs w:val="24"/>
                <w:lang w:val="en-US" w:eastAsia="ru-RU"/>
              </w:rPr>
              <w:t xml:space="preserve"> </w:t>
            </w:r>
            <w:r w:rsidRPr="00914608">
              <w:rPr>
                <w:rFonts w:ascii="Times New Roman" w:eastAsia="Times New Roman" w:hAnsi="Times New Roman" w:cs="Times New Roman"/>
                <w:b/>
                <w:bCs/>
                <w:sz w:val="24"/>
                <w:szCs w:val="24"/>
                <w:lang w:val="en-US" w:eastAsia="ru-RU"/>
              </w:rPr>
              <w:br/>
              <w:t>Electrochemical dynamic response.</w:t>
            </w:r>
            <w:r w:rsidRPr="00914608">
              <w:rPr>
                <w:rFonts w:ascii="Times New Roman" w:eastAsia="Times New Roman" w:hAnsi="Times New Roman" w:cs="Times New Roman"/>
                <w:sz w:val="24"/>
                <w:szCs w:val="24"/>
                <w:lang w:val="en-US" w:eastAsia="ru-RU"/>
              </w:rPr>
              <w:t xml:space="preserve"> </w:t>
            </w:r>
          </w:p>
          <w:p w:rsidR="00914608" w:rsidRPr="00914608" w:rsidRDefault="00914608" w:rsidP="00914608">
            <w:pPr>
              <w:spacing w:before="100" w:beforeAutospacing="1" w:after="100" w:afterAutospacing="1"/>
              <w:ind w:left="252" w:firstLine="0"/>
              <w:rPr>
                <w:rFonts w:ascii="Times New Roman" w:eastAsia="Times New Roman" w:hAnsi="Times New Roman" w:cs="Times New Roman"/>
                <w:sz w:val="24"/>
                <w:szCs w:val="24"/>
                <w:lang w:val="en-US" w:eastAsia="ru-RU"/>
              </w:rPr>
            </w:pPr>
            <w:r w:rsidRPr="00914608">
              <w:rPr>
                <w:rFonts w:ascii="Times New Roman" w:eastAsia="Times New Roman" w:hAnsi="Times New Roman" w:cs="Times New Roman"/>
                <w:sz w:val="24"/>
                <w:szCs w:val="24"/>
                <w:lang w:val="en-US" w:eastAsia="ru-RU"/>
              </w:rPr>
              <w:t xml:space="preserve">The electrochemical dynamic response measures the ion flow between the positive and negative plates. A strong battery recovers quickly from an attack whereas a weaker pack behaves more sluggishly. </w:t>
            </w:r>
          </w:p>
          <w:p w:rsidR="00914608" w:rsidRPr="00914608" w:rsidRDefault="00914608" w:rsidP="00914608">
            <w:pPr>
              <w:spacing w:before="100" w:beforeAutospacing="1" w:after="100" w:afterAutospacing="1"/>
              <w:ind w:left="252" w:firstLine="0"/>
              <w:rPr>
                <w:rFonts w:ascii="Times New Roman" w:eastAsia="Times New Roman" w:hAnsi="Times New Roman" w:cs="Times New Roman"/>
                <w:sz w:val="24"/>
                <w:szCs w:val="24"/>
                <w:lang w:val="en-US" w:eastAsia="ru-RU"/>
              </w:rPr>
            </w:pPr>
            <w:r w:rsidRPr="00914608">
              <w:rPr>
                <w:rFonts w:ascii="Times New Roman" w:eastAsia="Times New Roman" w:hAnsi="Times New Roman" w:cs="Times New Roman"/>
                <w:sz w:val="24"/>
                <w:szCs w:val="24"/>
                <w:vertAlign w:val="superscript"/>
                <w:lang w:val="en-US" w:eastAsia="ru-RU"/>
              </w:rPr>
              <w:t>US Patent 7,622,929;</w:t>
            </w:r>
            <w:r w:rsidRPr="00914608">
              <w:rPr>
                <w:rFonts w:ascii="Times New Roman" w:eastAsia="Times New Roman" w:hAnsi="Times New Roman" w:cs="Times New Roman"/>
                <w:sz w:val="24"/>
                <w:szCs w:val="24"/>
                <w:lang w:val="en-US" w:eastAsia="ru-RU"/>
              </w:rPr>
              <w:t xml:space="preserve"> </w:t>
            </w:r>
            <w:r w:rsidRPr="00914608">
              <w:rPr>
                <w:rFonts w:ascii="Times New Roman" w:eastAsia="Times New Roman" w:hAnsi="Times New Roman" w:cs="Times New Roman"/>
                <w:sz w:val="24"/>
                <w:szCs w:val="24"/>
                <w:vertAlign w:val="superscript"/>
                <w:lang w:val="en-US" w:eastAsia="ru-RU"/>
              </w:rPr>
              <w:t>Courtesy of Cadex</w:t>
            </w:r>
            <w:r w:rsidRPr="00914608">
              <w:rPr>
                <w:rFonts w:ascii="Times New Roman" w:eastAsia="Times New Roman" w:hAnsi="Times New Roman" w:cs="Times New Roman"/>
                <w:sz w:val="24"/>
                <w:szCs w:val="24"/>
                <w:lang w:val="en-US" w:eastAsia="ru-RU"/>
              </w:rPr>
              <w:t xml:space="preserve"> </w:t>
            </w:r>
          </w:p>
        </w:tc>
      </w:tr>
    </w:tbl>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en-US" w:eastAsia="ru-RU"/>
        </w:rPr>
      </w:pPr>
      <w:r w:rsidRPr="00914608">
        <w:rPr>
          <w:rFonts w:ascii="Times New Roman" w:eastAsia="Times New Roman" w:hAnsi="Times New Roman" w:cs="Times New Roman"/>
          <w:sz w:val="24"/>
          <w:szCs w:val="24"/>
          <w:lang w:val="en-US" w:eastAsia="ru-RU"/>
        </w:rPr>
        <w:br/>
        <w:t xml:space="preserve">Lithium-ion batteries have different diffusion rates. In terms of electrochemical dynamic response, </w:t>
      </w:r>
      <w:r w:rsidRPr="00914608">
        <w:rPr>
          <w:rFonts w:ascii="Times New Roman" w:eastAsia="Times New Roman" w:hAnsi="Times New Roman" w:cs="Times New Roman"/>
          <w:color w:val="0000FF"/>
          <w:sz w:val="24"/>
          <w:szCs w:val="24"/>
          <w:u w:val="single"/>
          <w:lang w:val="en-US" w:eastAsia="ru-RU"/>
        </w:rPr>
        <w:t>Li-ion polymer</w:t>
      </w:r>
      <w:r w:rsidRPr="00914608">
        <w:rPr>
          <w:rFonts w:ascii="Times New Roman" w:eastAsia="Times New Roman" w:hAnsi="Times New Roman" w:cs="Times New Roman"/>
          <w:sz w:val="24"/>
          <w:szCs w:val="24"/>
          <w:lang w:val="en-US" w:eastAsia="ru-RU"/>
        </w:rPr>
        <w:t xml:space="preserve"> with gelled electrolyte is found to be faster than standard Li-ion and needs modified parameters to achieve accuracy. Unique active materials and additives that are kept top secret by battery manufacturers complicate the test procedure. </w:t>
      </w:r>
      <w:r w:rsidRPr="00914608">
        <w:rPr>
          <w:rFonts w:ascii="Times New Roman" w:eastAsia="Times New Roman" w:hAnsi="Times New Roman" w:cs="Times New Roman"/>
          <w:sz w:val="24"/>
          <w:szCs w:val="24"/>
          <w:lang w:val="en-US" w:eastAsia="ru-RU"/>
        </w:rPr>
        <w:br/>
      </w:r>
      <w:r w:rsidRPr="00914608">
        <w:rPr>
          <w:rFonts w:ascii="Times New Roman" w:eastAsia="Times New Roman" w:hAnsi="Times New Roman" w:cs="Times New Roman"/>
          <w:sz w:val="24"/>
          <w:szCs w:val="24"/>
          <w:lang w:val="en-US" w:eastAsia="ru-RU"/>
        </w:rPr>
        <w:br/>
        <w:t xml:space="preserve">Cadex devoted much effort to testing small single Li-ion cell in mobile phones. The objective is to also test larger Li-ion in multi-cell configuration, over a broad range of state-of-charge, which involves combining </w:t>
      </w:r>
      <w:r w:rsidRPr="00914608">
        <w:rPr>
          <w:rFonts w:ascii="Times New Roman" w:eastAsia="Times New Roman" w:hAnsi="Times New Roman" w:cs="Times New Roman"/>
          <w:i/>
          <w:iCs/>
          <w:sz w:val="24"/>
          <w:szCs w:val="24"/>
          <w:lang w:val="en-US" w:eastAsia="ru-RU"/>
        </w:rPr>
        <w:t>time domain</w:t>
      </w:r>
      <w:r w:rsidRPr="00914608">
        <w:rPr>
          <w:rFonts w:ascii="Times New Roman" w:eastAsia="Times New Roman" w:hAnsi="Times New Roman" w:cs="Times New Roman"/>
          <w:sz w:val="24"/>
          <w:szCs w:val="24"/>
          <w:lang w:val="en-US" w:eastAsia="ru-RU"/>
        </w:rPr>
        <w:t xml:space="preserve"> test with </w:t>
      </w:r>
      <w:r w:rsidRPr="00914608">
        <w:rPr>
          <w:rFonts w:ascii="Times New Roman" w:eastAsia="Times New Roman" w:hAnsi="Times New Roman" w:cs="Times New Roman"/>
          <w:i/>
          <w:iCs/>
          <w:sz w:val="24"/>
          <w:szCs w:val="24"/>
          <w:lang w:val="en-US" w:eastAsia="ru-RU"/>
        </w:rPr>
        <w:t xml:space="preserve">frequency </w:t>
      </w:r>
      <w:proofErr w:type="gramStart"/>
      <w:r w:rsidRPr="00914608">
        <w:rPr>
          <w:rFonts w:ascii="Times New Roman" w:eastAsia="Times New Roman" w:hAnsi="Times New Roman" w:cs="Times New Roman"/>
          <w:i/>
          <w:iCs/>
          <w:sz w:val="24"/>
          <w:szCs w:val="24"/>
          <w:lang w:val="en-US" w:eastAsia="ru-RU"/>
        </w:rPr>
        <w:t>domain</w:t>
      </w:r>
      <w:r w:rsidRPr="00914608">
        <w:rPr>
          <w:rFonts w:ascii="Times New Roman" w:eastAsia="Times New Roman" w:hAnsi="Times New Roman" w:cs="Times New Roman"/>
          <w:sz w:val="24"/>
          <w:szCs w:val="24"/>
          <w:lang w:val="en-US" w:eastAsia="ru-RU"/>
        </w:rPr>
        <w:t xml:space="preserve"> .</w:t>
      </w:r>
      <w:proofErr w:type="gramEnd"/>
      <w:r w:rsidRPr="00914608">
        <w:rPr>
          <w:rFonts w:ascii="Times New Roman" w:eastAsia="Times New Roman" w:hAnsi="Times New Roman" w:cs="Times New Roman"/>
          <w:sz w:val="24"/>
          <w:szCs w:val="24"/>
          <w:lang w:val="en-US" w:eastAsia="ru-RU"/>
        </w:rPr>
        <w:t xml:space="preserve"> </w:t>
      </w:r>
      <w:r w:rsidRPr="00914608">
        <w:rPr>
          <w:rFonts w:ascii="Times New Roman" w:eastAsia="Times New Roman" w:hAnsi="Times New Roman" w:cs="Times New Roman"/>
          <w:sz w:val="24"/>
          <w:szCs w:val="24"/>
          <w:lang w:val="en-US" w:eastAsia="ru-RU"/>
        </w:rPr>
        <w:br/>
      </w:r>
      <w:r w:rsidRPr="00914608">
        <w:rPr>
          <w:rFonts w:ascii="Times New Roman" w:eastAsia="Times New Roman" w:hAnsi="Times New Roman" w:cs="Times New Roman"/>
          <w:sz w:val="24"/>
          <w:szCs w:val="24"/>
          <w:lang w:val="en-US" w:eastAsia="ru-RU"/>
        </w:rPr>
        <w:br/>
        <w:t xml:space="preserve">When scanning a battery from kilohertz down to millihertz in frequency domain mode, the high frequency range called </w:t>
      </w:r>
      <w:r w:rsidRPr="00914608">
        <w:rPr>
          <w:rFonts w:ascii="Times New Roman" w:eastAsia="Times New Roman" w:hAnsi="Times New Roman" w:cs="Times New Roman"/>
          <w:i/>
          <w:iCs/>
          <w:sz w:val="24"/>
          <w:szCs w:val="24"/>
          <w:lang w:val="en-US" w:eastAsia="ru-RU"/>
        </w:rPr>
        <w:t>migration</w:t>
      </w:r>
      <w:r w:rsidRPr="00914608">
        <w:rPr>
          <w:rFonts w:ascii="Times New Roman" w:eastAsia="Times New Roman" w:hAnsi="Times New Roman" w:cs="Times New Roman"/>
          <w:sz w:val="24"/>
          <w:szCs w:val="24"/>
          <w:lang w:val="en-US" w:eastAsia="ru-RU"/>
        </w:rPr>
        <w:t xml:space="preserve"> reveals the resistive qualities of a battery that present a bird's-eye view of the landscape. However, the unique characteristics of Li-ion lie in the mid frequency range called </w:t>
      </w:r>
      <w:r w:rsidRPr="00914608">
        <w:rPr>
          <w:rFonts w:ascii="Times New Roman" w:eastAsia="Times New Roman" w:hAnsi="Times New Roman" w:cs="Times New Roman"/>
          <w:i/>
          <w:iCs/>
          <w:sz w:val="24"/>
          <w:szCs w:val="24"/>
          <w:lang w:val="en-US" w:eastAsia="ru-RU"/>
        </w:rPr>
        <w:t>charge transfer</w:t>
      </w:r>
      <w:r w:rsidRPr="00914608">
        <w:rPr>
          <w:rFonts w:ascii="Times New Roman" w:eastAsia="Times New Roman" w:hAnsi="Times New Roman" w:cs="Times New Roman"/>
          <w:sz w:val="24"/>
          <w:szCs w:val="24"/>
          <w:lang w:val="en-US" w:eastAsia="ru-RU"/>
        </w:rPr>
        <w:t xml:space="preserve"> and the low </w:t>
      </w:r>
      <w:r w:rsidRPr="00914608">
        <w:rPr>
          <w:rFonts w:ascii="Times New Roman" w:eastAsia="Times New Roman" w:hAnsi="Times New Roman" w:cs="Times New Roman"/>
          <w:sz w:val="24"/>
          <w:szCs w:val="24"/>
          <w:lang w:val="en-US" w:eastAsia="ru-RU"/>
        </w:rPr>
        <w:lastRenderedPageBreak/>
        <w:t xml:space="preserve">range dubbed </w:t>
      </w:r>
      <w:proofErr w:type="gramStart"/>
      <w:r w:rsidRPr="00914608">
        <w:rPr>
          <w:rFonts w:ascii="Times New Roman" w:eastAsia="Times New Roman" w:hAnsi="Times New Roman" w:cs="Times New Roman"/>
          <w:i/>
          <w:iCs/>
          <w:sz w:val="24"/>
          <w:szCs w:val="24"/>
          <w:lang w:val="en-US" w:eastAsia="ru-RU"/>
        </w:rPr>
        <w:t>diffusion</w:t>
      </w:r>
      <w:r w:rsidRPr="00914608">
        <w:rPr>
          <w:rFonts w:ascii="Times New Roman" w:eastAsia="Times New Roman" w:hAnsi="Times New Roman" w:cs="Times New Roman"/>
          <w:sz w:val="24"/>
          <w:szCs w:val="24"/>
          <w:lang w:val="en-US" w:eastAsia="ru-RU"/>
        </w:rPr>
        <w:t xml:space="preserve"> .</w:t>
      </w:r>
      <w:proofErr w:type="gramEnd"/>
      <w:r w:rsidRPr="00914608">
        <w:rPr>
          <w:rFonts w:ascii="Times New Roman" w:eastAsia="Times New Roman" w:hAnsi="Times New Roman" w:cs="Times New Roman"/>
          <w:sz w:val="24"/>
          <w:szCs w:val="24"/>
          <w:lang w:val="en-US" w:eastAsia="ru-RU"/>
        </w:rPr>
        <w:t xml:space="preserve"> Batteries with faded capacity suffer from low charge transfer and slow active Li-ion diffusion. </w:t>
      </w:r>
      <w:r w:rsidRPr="00914608">
        <w:rPr>
          <w:rFonts w:ascii="Times New Roman" w:eastAsia="Times New Roman" w:hAnsi="Times New Roman" w:cs="Times New Roman"/>
          <w:sz w:val="24"/>
          <w:szCs w:val="24"/>
          <w:lang w:val="en-US" w:eastAsia="ru-RU"/>
        </w:rPr>
        <w:br/>
      </w:r>
      <w:r w:rsidRPr="00914608">
        <w:rPr>
          <w:rFonts w:ascii="Times New Roman" w:eastAsia="Times New Roman" w:hAnsi="Times New Roman" w:cs="Times New Roman"/>
          <w:sz w:val="24"/>
          <w:szCs w:val="24"/>
          <w:lang w:val="en-US" w:eastAsia="ru-RU"/>
        </w:rPr>
        <w:br/>
        <w:t xml:space="preserve">Evaluating batteries at sub one-hertz frequency would require prolonged test times. At one millihertz, for example, one cycle takes 1,000 seconds, or 16 minutes, and several data points are required to complete the analysis. Rapid-tests should only last a few seconds and not longer than 5 minutes. With clever software simulation, the duration can be shortened to fall within the desired short test time. </w:t>
      </w:r>
      <w:r w:rsidRPr="00914608">
        <w:rPr>
          <w:rFonts w:ascii="Times New Roman" w:eastAsia="Times New Roman" w:hAnsi="Times New Roman" w:cs="Times New Roman"/>
          <w:sz w:val="24"/>
          <w:szCs w:val="24"/>
          <w:lang w:val="en-US" w:eastAsia="ru-RU"/>
        </w:rPr>
        <w:br/>
      </w:r>
      <w:r w:rsidRPr="00914608">
        <w:rPr>
          <w:rFonts w:ascii="Times New Roman" w:eastAsia="Times New Roman" w:hAnsi="Times New Roman" w:cs="Times New Roman"/>
          <w:sz w:val="24"/>
          <w:szCs w:val="24"/>
          <w:lang w:val="en-US" w:eastAsia="ru-RU"/>
        </w:rPr>
        <w:br/>
        <w:t xml:space="preserve">In Figure 2, a good battery and a faded battery are scanned from 0.1Hz to </w:t>
      </w:r>
      <w:proofErr w:type="gramStart"/>
      <w:r w:rsidRPr="00914608">
        <w:rPr>
          <w:rFonts w:ascii="Times New Roman" w:eastAsia="Times New Roman" w:hAnsi="Times New Roman" w:cs="Times New Roman"/>
          <w:sz w:val="24"/>
          <w:szCs w:val="24"/>
          <w:lang w:val="en-US" w:eastAsia="ru-RU"/>
        </w:rPr>
        <w:t>1kHz</w:t>
      </w:r>
      <w:proofErr w:type="gramEnd"/>
      <w:r w:rsidRPr="00914608">
        <w:rPr>
          <w:rFonts w:ascii="Times New Roman" w:eastAsia="Times New Roman" w:hAnsi="Times New Roman" w:cs="Times New Roman"/>
          <w:sz w:val="24"/>
          <w:szCs w:val="24"/>
          <w:lang w:val="en-US" w:eastAsia="ru-RU"/>
        </w:rPr>
        <w:t xml:space="preserve">. The difference in impedance (-Imp -Z) is strongest between 1Hz and 10Hz. It should be noted that capturing resistive readings alone has limited value as state-of-charge (SoC) and temperature also affect the signature and muddle SoH references. Furthermore, different Li-ion architectures and how the battery has aged also affect the results. Natural aging produces a different signature than artificial aging and the reason for this discrepancy is not fully understood.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0995" cy="2775585"/>
            <wp:effectExtent l="19050" t="0" r="8255" b="0"/>
            <wp:docPr id="9" name="Рисунок 9" descr="QS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SMS"/>
                    <pic:cNvPicPr>
                      <a:picLocks noChangeAspect="1" noChangeArrowheads="1"/>
                    </pic:cNvPicPr>
                  </pic:nvPicPr>
                  <pic:blipFill>
                    <a:blip r:embed="rId5"/>
                    <a:srcRect/>
                    <a:stretch>
                      <a:fillRect/>
                    </a:stretch>
                  </pic:blipFill>
                  <pic:spPr bwMode="auto">
                    <a:xfrm>
                      <a:off x="0" y="0"/>
                      <a:ext cx="5420995" cy="2775585"/>
                    </a:xfrm>
                    <a:prstGeom prst="rect">
                      <a:avLst/>
                    </a:prstGeom>
                    <a:noFill/>
                    <a:ln w="9525">
                      <a:noFill/>
                      <a:miter lim="800000"/>
                      <a:headEnd/>
                      <a:tailEnd/>
                    </a:ln>
                  </pic:spPr>
                </pic:pic>
              </a:graphicData>
            </a:graphic>
          </wp:inline>
        </w:drawing>
      </w:r>
      <w:r w:rsidRPr="00914608">
        <w:rPr>
          <w:rFonts w:ascii="Times New Roman" w:eastAsia="Times New Roman" w:hAnsi="Times New Roman" w:cs="Times New Roman"/>
          <w:sz w:val="24"/>
          <w:szCs w:val="24"/>
          <w:lang w:val="en-US" w:eastAsia="ru-RU"/>
        </w:rPr>
        <w:br/>
      </w:r>
      <w:r w:rsidRPr="00914608">
        <w:rPr>
          <w:rFonts w:ascii="Times New Roman" w:eastAsia="Times New Roman" w:hAnsi="Times New Roman" w:cs="Times New Roman"/>
          <w:b/>
          <w:bCs/>
          <w:sz w:val="24"/>
          <w:szCs w:val="24"/>
          <w:lang w:val="en-US" w:eastAsia="ru-RU"/>
        </w:rPr>
        <w:t>Figure 2: Frequency scan of good and weak mobile phone batteries.</w:t>
      </w:r>
      <w:r w:rsidRPr="00914608">
        <w:rPr>
          <w:rFonts w:ascii="Times New Roman" w:eastAsia="Times New Roman" w:hAnsi="Times New Roman" w:cs="Times New Roman"/>
          <w:sz w:val="24"/>
          <w:szCs w:val="24"/>
          <w:lang w:val="en-US" w:eastAsia="ru-RU"/>
        </w:rPr>
        <w:t xml:space="preserve"> </w:t>
      </w:r>
      <w:r w:rsidRPr="00914608">
        <w:rPr>
          <w:rFonts w:ascii="Times New Roman" w:eastAsia="Times New Roman" w:hAnsi="Times New Roman" w:cs="Times New Roman"/>
          <w:sz w:val="24"/>
          <w:szCs w:val="24"/>
          <w:lang w:val="en-US" w:eastAsia="ru-RU"/>
        </w:rPr>
        <w:br/>
        <w:t xml:space="preserve">Impedance variances are most visible below 10Hz. The horizontal scale is logarithmic to condense the frequency range. </w:t>
      </w:r>
      <w:r w:rsidRPr="00914608">
        <w:rPr>
          <w:rFonts w:ascii="Times New Roman" w:eastAsia="Times New Roman" w:hAnsi="Times New Roman" w:cs="Times New Roman"/>
          <w:sz w:val="24"/>
          <w:szCs w:val="24"/>
          <w:lang w:val="en-US" w:eastAsia="ru-RU"/>
        </w:rPr>
        <w:br/>
      </w:r>
      <w:proofErr w:type="spellStart"/>
      <w:r w:rsidRPr="00914608">
        <w:rPr>
          <w:rFonts w:ascii="Times New Roman" w:eastAsia="Times New Roman" w:hAnsi="Times New Roman" w:cs="Times New Roman"/>
          <w:sz w:val="24"/>
          <w:szCs w:val="24"/>
          <w:vertAlign w:val="superscript"/>
          <w:lang w:val="ru-RU" w:eastAsia="ru-RU"/>
        </w:rPr>
        <w:t>Courtesy</w:t>
      </w:r>
      <w:proofErr w:type="spellEnd"/>
      <w:r w:rsidRPr="00914608">
        <w:rPr>
          <w:rFonts w:ascii="Times New Roman" w:eastAsia="Times New Roman" w:hAnsi="Times New Roman" w:cs="Times New Roman"/>
          <w:sz w:val="24"/>
          <w:szCs w:val="24"/>
          <w:vertAlign w:val="superscript"/>
          <w:lang w:val="ru-RU" w:eastAsia="ru-RU"/>
        </w:rPr>
        <w:t xml:space="preserve"> </w:t>
      </w:r>
      <w:proofErr w:type="spellStart"/>
      <w:r w:rsidRPr="00914608">
        <w:rPr>
          <w:rFonts w:ascii="Times New Roman" w:eastAsia="Times New Roman" w:hAnsi="Times New Roman" w:cs="Times New Roman"/>
          <w:sz w:val="24"/>
          <w:szCs w:val="24"/>
          <w:vertAlign w:val="superscript"/>
          <w:lang w:val="ru-RU" w:eastAsia="ru-RU"/>
        </w:rPr>
        <w:t>of</w:t>
      </w:r>
      <w:proofErr w:type="spellEnd"/>
      <w:r w:rsidRPr="00914608">
        <w:rPr>
          <w:rFonts w:ascii="Times New Roman" w:eastAsia="Times New Roman" w:hAnsi="Times New Roman" w:cs="Times New Roman"/>
          <w:sz w:val="24"/>
          <w:szCs w:val="24"/>
          <w:vertAlign w:val="superscript"/>
          <w:lang w:val="ru-RU" w:eastAsia="ru-RU"/>
        </w:rPr>
        <w:t xml:space="preserve"> </w:t>
      </w:r>
      <w:proofErr w:type="spellStart"/>
      <w:r w:rsidRPr="00914608">
        <w:rPr>
          <w:rFonts w:ascii="Times New Roman" w:eastAsia="Times New Roman" w:hAnsi="Times New Roman" w:cs="Times New Roman"/>
          <w:sz w:val="24"/>
          <w:szCs w:val="24"/>
          <w:vertAlign w:val="superscript"/>
          <w:lang w:val="ru-RU" w:eastAsia="ru-RU"/>
        </w:rPr>
        <w:t>Cadex</w:t>
      </w:r>
      <w:proofErr w:type="spellEnd"/>
      <w:r w:rsidRPr="00914608">
        <w:rPr>
          <w:rFonts w:ascii="Times New Roman" w:eastAsia="Times New Roman" w:hAnsi="Times New Roman" w:cs="Times New Roman"/>
          <w:sz w:val="24"/>
          <w:szCs w:val="24"/>
          <w:lang w:val="ru-RU" w:eastAsia="ru-RU"/>
        </w:rPr>
        <w:t xml:space="preserve">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en-US" w:eastAsia="ru-RU"/>
        </w:rPr>
      </w:pPr>
      <w:r w:rsidRPr="00914608">
        <w:rPr>
          <w:rFonts w:ascii="Times New Roman" w:eastAsia="Times New Roman" w:hAnsi="Times New Roman" w:cs="Times New Roman"/>
          <w:sz w:val="24"/>
          <w:szCs w:val="24"/>
          <w:lang w:val="en-US" w:eastAsia="ru-RU"/>
        </w:rPr>
        <w:t xml:space="preserve">Test results captured by frequency domain are best represented by the </w:t>
      </w:r>
      <w:r w:rsidRPr="00914608">
        <w:rPr>
          <w:rFonts w:ascii="Times New Roman" w:eastAsia="Times New Roman" w:hAnsi="Times New Roman" w:cs="Times New Roman"/>
          <w:i/>
          <w:iCs/>
          <w:sz w:val="24"/>
          <w:szCs w:val="24"/>
          <w:lang w:val="en-US" w:eastAsia="ru-RU"/>
        </w:rPr>
        <w:t xml:space="preserve">Nyquist </w:t>
      </w:r>
      <w:proofErr w:type="gramStart"/>
      <w:r w:rsidRPr="00914608">
        <w:rPr>
          <w:rFonts w:ascii="Times New Roman" w:eastAsia="Times New Roman" w:hAnsi="Times New Roman" w:cs="Times New Roman"/>
          <w:i/>
          <w:iCs/>
          <w:sz w:val="24"/>
          <w:szCs w:val="24"/>
          <w:lang w:val="en-US" w:eastAsia="ru-RU"/>
        </w:rPr>
        <w:t>plot</w:t>
      </w:r>
      <w:r w:rsidRPr="00914608">
        <w:rPr>
          <w:rFonts w:ascii="Times New Roman" w:eastAsia="Times New Roman" w:hAnsi="Times New Roman" w:cs="Times New Roman"/>
          <w:sz w:val="24"/>
          <w:szCs w:val="24"/>
          <w:lang w:val="en-US" w:eastAsia="ru-RU"/>
        </w:rPr>
        <w:t xml:space="preserve"> .</w:t>
      </w:r>
      <w:proofErr w:type="gramEnd"/>
      <w:r w:rsidRPr="00914608">
        <w:rPr>
          <w:rFonts w:ascii="Times New Roman" w:eastAsia="Times New Roman" w:hAnsi="Times New Roman" w:cs="Times New Roman"/>
          <w:sz w:val="24"/>
          <w:szCs w:val="24"/>
          <w:lang w:val="en-US" w:eastAsia="ru-RU"/>
        </w:rPr>
        <w:t xml:space="preserve"> Invented by </w:t>
      </w:r>
      <w:r w:rsidRPr="00914608">
        <w:rPr>
          <w:rFonts w:ascii="Times New Roman" w:eastAsia="Times New Roman" w:hAnsi="Times New Roman" w:cs="Times New Roman"/>
          <w:i/>
          <w:iCs/>
          <w:sz w:val="24"/>
          <w:szCs w:val="24"/>
          <w:lang w:val="en-US" w:eastAsia="ru-RU"/>
        </w:rPr>
        <w:t>Harry Nyquist</w:t>
      </w:r>
      <w:r w:rsidRPr="00914608">
        <w:rPr>
          <w:rFonts w:ascii="Times New Roman" w:eastAsia="Times New Roman" w:hAnsi="Times New Roman" w:cs="Times New Roman"/>
          <w:sz w:val="24"/>
          <w:szCs w:val="24"/>
          <w:lang w:val="en-US" w:eastAsia="ru-RU"/>
        </w:rPr>
        <w:t xml:space="preserve"> (1889–1976) while at Bell Laboratories; a Nyquist plot presents the frequency response of a linear systems displaying both amplitude and phase angle on a single plot using frequency as parameter. The horizontal x axis of a Nyquist plot reveals the real Ohm impedance while the vertical y axis represents the imaginary impedance. (Impedance is explained on </w:t>
      </w:r>
      <w:r w:rsidRPr="00914608">
        <w:rPr>
          <w:rFonts w:ascii="Times New Roman" w:eastAsia="Times New Roman" w:hAnsi="Times New Roman" w:cs="Times New Roman"/>
          <w:color w:val="0000FF"/>
          <w:sz w:val="24"/>
          <w:szCs w:val="24"/>
          <w:u w:val="single"/>
          <w:lang w:val="en-US" w:eastAsia="ru-RU"/>
        </w:rPr>
        <w:t xml:space="preserve">How to Measure Internal </w:t>
      </w:r>
      <w:proofErr w:type="gramStart"/>
      <w:r w:rsidRPr="00914608">
        <w:rPr>
          <w:rFonts w:ascii="Times New Roman" w:eastAsia="Times New Roman" w:hAnsi="Times New Roman" w:cs="Times New Roman"/>
          <w:color w:val="0000FF"/>
          <w:sz w:val="24"/>
          <w:szCs w:val="24"/>
          <w:u w:val="single"/>
          <w:lang w:val="en-US" w:eastAsia="ru-RU"/>
        </w:rPr>
        <w:t>Resistance</w:t>
      </w:r>
      <w:r w:rsidRPr="00914608">
        <w:rPr>
          <w:rFonts w:ascii="Times New Roman" w:eastAsia="Times New Roman" w:hAnsi="Times New Roman" w:cs="Times New Roman"/>
          <w:sz w:val="24"/>
          <w:szCs w:val="24"/>
          <w:lang w:val="en-US" w:eastAsia="ru-RU"/>
        </w:rPr>
        <w:t xml:space="preserve"> )</w:t>
      </w:r>
      <w:proofErr w:type="gramEnd"/>
      <w:r w:rsidRPr="00914608">
        <w:rPr>
          <w:rFonts w:ascii="Times New Roman" w:eastAsia="Times New Roman" w:hAnsi="Times New Roman" w:cs="Times New Roman"/>
          <w:sz w:val="24"/>
          <w:szCs w:val="24"/>
          <w:lang w:val="en-US" w:eastAsia="ru-RU"/>
        </w:rPr>
        <w:t xml:space="preserve"> </w:t>
      </w:r>
      <w:r w:rsidRPr="00914608">
        <w:rPr>
          <w:rFonts w:ascii="Times New Roman" w:eastAsia="Times New Roman" w:hAnsi="Times New Roman" w:cs="Times New Roman"/>
          <w:sz w:val="24"/>
          <w:szCs w:val="24"/>
          <w:lang w:val="en-US" w:eastAsia="ru-RU"/>
        </w:rPr>
        <w:br/>
      </w:r>
      <w:r w:rsidRPr="00914608">
        <w:rPr>
          <w:rFonts w:ascii="Times New Roman" w:eastAsia="Times New Roman" w:hAnsi="Times New Roman" w:cs="Times New Roman"/>
          <w:sz w:val="24"/>
          <w:szCs w:val="24"/>
          <w:lang w:val="en-US" w:eastAsia="ru-RU"/>
        </w:rPr>
        <w:br/>
        <w:t xml:space="preserve">Figure 3 divides the scanned battery results as delivered by the Nyquist plot into migration, charge transfer and diffusion. Migration derived at high frequency on the left provides resistive characteristics of a battery; the all-important charge transfer in the middle forms a semi-circle that represents the kinetics of the battery; and the low frequency part on the right represents diffusion.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val="ru-RU" w:eastAsia="ru-RU"/>
        </w:rPr>
        <w:lastRenderedPageBreak/>
        <w:drawing>
          <wp:inline distT="0" distB="0" distL="0" distR="0">
            <wp:extent cx="5420995" cy="2677795"/>
            <wp:effectExtent l="19050" t="0" r="8255" b="0"/>
            <wp:docPr id="10" name="Рисунок 10" descr="Nyq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yquist"/>
                    <pic:cNvPicPr>
                      <a:picLocks noChangeAspect="1" noChangeArrowheads="1"/>
                    </pic:cNvPicPr>
                  </pic:nvPicPr>
                  <pic:blipFill>
                    <a:blip r:embed="rId6"/>
                    <a:srcRect/>
                    <a:stretch>
                      <a:fillRect/>
                    </a:stretch>
                  </pic:blipFill>
                  <pic:spPr bwMode="auto">
                    <a:xfrm>
                      <a:off x="0" y="0"/>
                      <a:ext cx="5420995" cy="2677795"/>
                    </a:xfrm>
                    <a:prstGeom prst="rect">
                      <a:avLst/>
                    </a:prstGeom>
                    <a:noFill/>
                    <a:ln w="9525">
                      <a:noFill/>
                      <a:miter lim="800000"/>
                      <a:headEnd/>
                      <a:tailEnd/>
                    </a:ln>
                  </pic:spPr>
                </pic:pic>
              </a:graphicData>
            </a:graphic>
          </wp:inline>
        </w:drawing>
      </w:r>
      <w:r w:rsidRPr="00914608">
        <w:rPr>
          <w:rFonts w:ascii="Times New Roman" w:eastAsia="Times New Roman" w:hAnsi="Times New Roman" w:cs="Times New Roman"/>
          <w:sz w:val="24"/>
          <w:szCs w:val="24"/>
          <w:lang w:val="en-US" w:eastAsia="ru-RU"/>
        </w:rPr>
        <w:br/>
      </w:r>
      <w:r w:rsidRPr="00914608">
        <w:rPr>
          <w:rFonts w:ascii="Times New Roman" w:eastAsia="Times New Roman" w:hAnsi="Times New Roman" w:cs="Times New Roman"/>
          <w:b/>
          <w:bCs/>
          <w:sz w:val="24"/>
          <w:szCs w:val="24"/>
          <w:lang w:val="en-US" w:eastAsia="ru-RU"/>
        </w:rPr>
        <w:t>Figure 3:</w:t>
      </w:r>
      <w:r w:rsidRPr="00914608">
        <w:rPr>
          <w:rFonts w:ascii="Times New Roman" w:eastAsia="Times New Roman" w:hAnsi="Times New Roman" w:cs="Times New Roman"/>
          <w:sz w:val="24"/>
          <w:szCs w:val="24"/>
          <w:lang w:val="en-US" w:eastAsia="ru-RU"/>
        </w:rPr>
        <w:t xml:space="preserve"> </w:t>
      </w:r>
      <w:r w:rsidRPr="00914608">
        <w:rPr>
          <w:rFonts w:ascii="Times New Roman" w:eastAsia="Times New Roman" w:hAnsi="Times New Roman" w:cs="Times New Roman"/>
          <w:b/>
          <w:bCs/>
          <w:sz w:val="24"/>
          <w:szCs w:val="24"/>
          <w:lang w:val="en-US" w:eastAsia="ru-RU"/>
        </w:rPr>
        <w:t>The Nyquist plot is divided into high, mid and low frequency sections.</w:t>
      </w:r>
      <w:r w:rsidRPr="00914608">
        <w:rPr>
          <w:rFonts w:ascii="Times New Roman" w:eastAsia="Times New Roman" w:hAnsi="Times New Roman" w:cs="Times New Roman"/>
          <w:sz w:val="24"/>
          <w:szCs w:val="24"/>
          <w:lang w:val="en-US" w:eastAsia="ru-RU"/>
        </w:rPr>
        <w:t xml:space="preserve"> </w:t>
      </w:r>
      <w:r w:rsidRPr="00914608">
        <w:rPr>
          <w:rFonts w:ascii="Times New Roman" w:eastAsia="Times New Roman" w:hAnsi="Times New Roman" w:cs="Times New Roman"/>
          <w:sz w:val="24"/>
          <w:szCs w:val="24"/>
          <w:lang w:val="en-US" w:eastAsia="ru-RU"/>
        </w:rPr>
        <w:br/>
        <w:t xml:space="preserve">The mid-frequency semi-circle represents battery characteristics best. Larger batteries require lower frequencies. </w:t>
      </w:r>
      <w:r w:rsidRPr="00914608">
        <w:rPr>
          <w:rFonts w:ascii="Times New Roman" w:eastAsia="Times New Roman" w:hAnsi="Times New Roman" w:cs="Times New Roman"/>
          <w:sz w:val="24"/>
          <w:szCs w:val="24"/>
          <w:lang w:val="en-US" w:eastAsia="ru-RU"/>
        </w:rPr>
        <w:br/>
      </w:r>
      <w:r w:rsidRPr="00914608">
        <w:rPr>
          <w:rFonts w:ascii="Times New Roman" w:eastAsia="Times New Roman" w:hAnsi="Times New Roman" w:cs="Times New Roman"/>
          <w:sz w:val="24"/>
          <w:szCs w:val="24"/>
          <w:vertAlign w:val="superscript"/>
          <w:lang w:val="en-US" w:eastAsia="ru-RU"/>
        </w:rPr>
        <w:t>Courtesy of Cadex</w:t>
      </w:r>
      <w:r w:rsidRPr="00914608">
        <w:rPr>
          <w:rFonts w:ascii="Times New Roman" w:eastAsia="Times New Roman" w:hAnsi="Times New Roman" w:cs="Times New Roman"/>
          <w:sz w:val="24"/>
          <w:szCs w:val="24"/>
          <w:lang w:val="en-US" w:eastAsia="ru-RU"/>
        </w:rPr>
        <w:t xml:space="preserve">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en-US" w:eastAsia="ru-RU"/>
        </w:rPr>
      </w:pPr>
      <w:r w:rsidRPr="00914608">
        <w:rPr>
          <w:rFonts w:ascii="Times New Roman" w:eastAsia="Times New Roman" w:hAnsi="Times New Roman" w:cs="Times New Roman"/>
          <w:sz w:val="24"/>
          <w:szCs w:val="24"/>
          <w:lang w:val="en-US" w:eastAsia="ru-RU"/>
        </w:rPr>
        <w:t xml:space="preserve">Li-ion shares similarities with lead acid; the Spectro™ technology that is used to measure the capacity of lead acid batteries will also be able to service Li-ion. (See </w:t>
      </w:r>
      <w:r w:rsidRPr="00914608">
        <w:rPr>
          <w:rFonts w:ascii="Times New Roman" w:eastAsia="Times New Roman" w:hAnsi="Times New Roman" w:cs="Times New Roman"/>
          <w:color w:val="0000FF"/>
          <w:sz w:val="24"/>
          <w:szCs w:val="24"/>
          <w:u w:val="single"/>
          <w:lang w:val="en-US" w:eastAsia="ru-RU"/>
        </w:rPr>
        <w:t xml:space="preserve">How to Measure </w:t>
      </w:r>
      <w:proofErr w:type="gramStart"/>
      <w:r w:rsidRPr="00914608">
        <w:rPr>
          <w:rFonts w:ascii="Times New Roman" w:eastAsia="Times New Roman" w:hAnsi="Times New Roman" w:cs="Times New Roman"/>
          <w:color w:val="0000FF"/>
          <w:sz w:val="24"/>
          <w:szCs w:val="24"/>
          <w:u w:val="single"/>
          <w:lang w:val="en-US" w:eastAsia="ru-RU"/>
        </w:rPr>
        <w:t>Capacity</w:t>
      </w:r>
      <w:r w:rsidRPr="00914608">
        <w:rPr>
          <w:rFonts w:ascii="Times New Roman" w:eastAsia="Times New Roman" w:hAnsi="Times New Roman" w:cs="Times New Roman"/>
          <w:sz w:val="24"/>
          <w:szCs w:val="24"/>
          <w:lang w:val="en-US" w:eastAsia="ru-RU"/>
        </w:rPr>
        <w:t xml:space="preserve"> )</w:t>
      </w:r>
      <w:proofErr w:type="gramEnd"/>
      <w:r w:rsidRPr="00914608">
        <w:rPr>
          <w:rFonts w:ascii="Times New Roman" w:eastAsia="Times New Roman" w:hAnsi="Times New Roman" w:cs="Times New Roman"/>
          <w:sz w:val="24"/>
          <w:szCs w:val="24"/>
          <w:lang w:val="en-US" w:eastAsia="ru-RU"/>
        </w:rPr>
        <w:t xml:space="preserve"> </w:t>
      </w:r>
    </w:p>
    <w:p w:rsidR="00914608" w:rsidRPr="00914608" w:rsidRDefault="00914608" w:rsidP="00914608">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914608">
        <w:rPr>
          <w:rFonts w:ascii="Times New Roman" w:eastAsia="Times New Roman" w:hAnsi="Times New Roman" w:cs="Times New Roman"/>
          <w:b/>
          <w:bCs/>
          <w:sz w:val="36"/>
          <w:szCs w:val="36"/>
          <w:lang w:val="en-US" w:eastAsia="ru-RU"/>
        </w:rPr>
        <w:t xml:space="preserve">Summary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en-US" w:eastAsia="ru-RU"/>
        </w:rPr>
      </w:pPr>
      <w:r w:rsidRPr="00914608">
        <w:rPr>
          <w:rFonts w:ascii="Times New Roman" w:eastAsia="Times New Roman" w:hAnsi="Times New Roman" w:cs="Times New Roman"/>
          <w:sz w:val="24"/>
          <w:szCs w:val="24"/>
          <w:lang w:val="en-US" w:eastAsia="ru-RU"/>
        </w:rPr>
        <w:t xml:space="preserve">No rapid-test can evaluate all battery symptoms and there are always outliers that defy the test protocol. Correct prediction should be 9 out of 10. QuickSort™ (by Cadex) exceeds this requirement with most Li-ion packs for mobile phones, but this technology only tests single-cell packs up to 1,500mAh. New technologies in development promise to test larger Li-ion packs, but this may extend the test to a few minutes to accommodate low frequency sampling. </w:t>
      </w:r>
      <w:r w:rsidRPr="00914608">
        <w:rPr>
          <w:rFonts w:ascii="Times New Roman" w:eastAsia="Times New Roman" w:hAnsi="Times New Roman" w:cs="Times New Roman"/>
          <w:sz w:val="24"/>
          <w:szCs w:val="24"/>
          <w:lang w:val="en-US" w:eastAsia="ru-RU"/>
        </w:rPr>
        <w:br/>
      </w:r>
      <w:r w:rsidRPr="00914608">
        <w:rPr>
          <w:rFonts w:ascii="Times New Roman" w:eastAsia="Times New Roman" w:hAnsi="Times New Roman" w:cs="Times New Roman"/>
          <w:sz w:val="24"/>
          <w:szCs w:val="24"/>
          <w:lang w:val="en-US" w:eastAsia="ru-RU"/>
        </w:rPr>
        <w:br/>
        <w:t xml:space="preserve">Capacity is the gate keeper to battery health, and rapid-test technologies with capacity estimation also enhance </w:t>
      </w:r>
      <w:r w:rsidRPr="00914608">
        <w:rPr>
          <w:rFonts w:ascii="Times New Roman" w:eastAsia="Times New Roman" w:hAnsi="Times New Roman" w:cs="Times New Roman"/>
          <w:color w:val="0000FF"/>
          <w:sz w:val="24"/>
          <w:szCs w:val="24"/>
          <w:u w:val="single"/>
          <w:lang w:val="en-US" w:eastAsia="ru-RU"/>
        </w:rPr>
        <w:t>battery management systems (BMS</w:t>
      </w:r>
      <w:proofErr w:type="gramStart"/>
      <w:r w:rsidRPr="00914608">
        <w:rPr>
          <w:rFonts w:ascii="Times New Roman" w:eastAsia="Times New Roman" w:hAnsi="Times New Roman" w:cs="Times New Roman"/>
          <w:color w:val="0000FF"/>
          <w:sz w:val="24"/>
          <w:szCs w:val="24"/>
          <w:u w:val="single"/>
          <w:lang w:val="en-US" w:eastAsia="ru-RU"/>
        </w:rPr>
        <w:t>)</w:t>
      </w:r>
      <w:r w:rsidRPr="00914608">
        <w:rPr>
          <w:rFonts w:ascii="Times New Roman" w:eastAsia="Times New Roman" w:hAnsi="Times New Roman" w:cs="Times New Roman"/>
          <w:sz w:val="24"/>
          <w:szCs w:val="24"/>
          <w:lang w:val="en-US" w:eastAsia="ru-RU"/>
        </w:rPr>
        <w:t xml:space="preserve"> .</w:t>
      </w:r>
      <w:proofErr w:type="gramEnd"/>
      <w:r w:rsidRPr="00914608">
        <w:rPr>
          <w:rFonts w:ascii="Times New Roman" w:eastAsia="Times New Roman" w:hAnsi="Times New Roman" w:cs="Times New Roman"/>
          <w:sz w:val="24"/>
          <w:szCs w:val="24"/>
          <w:lang w:val="en-US" w:eastAsia="ru-RU"/>
        </w:rPr>
        <w:t xml:space="preserve"> Such rapid-test technologies can be included in chargers to evaluate the integrity of the battery with each charge by giving the green ready light only if the set target capacity is met; low capacity batteries are shown the backdoor. This provides quality control without adding an extra layer of overhead. </w:t>
      </w:r>
    </w:p>
    <w:p w:rsidR="00914608" w:rsidRPr="00914608" w:rsidRDefault="00914608" w:rsidP="00914608">
      <w:pPr>
        <w:spacing w:before="100" w:beforeAutospacing="1" w:after="100" w:afterAutospacing="1"/>
        <w:ind w:left="0" w:firstLine="0"/>
        <w:rPr>
          <w:rFonts w:ascii="Times New Roman" w:eastAsia="Times New Roman" w:hAnsi="Times New Roman" w:cs="Times New Roman"/>
          <w:sz w:val="24"/>
          <w:szCs w:val="24"/>
          <w:lang w:val="ru-RU" w:eastAsia="ru-RU"/>
        </w:rPr>
      </w:pPr>
      <w:proofErr w:type="spellStart"/>
      <w:r w:rsidRPr="00914608">
        <w:rPr>
          <w:rFonts w:ascii="Times New Roman" w:eastAsia="Times New Roman" w:hAnsi="Times New Roman" w:cs="Times New Roman"/>
          <w:sz w:val="24"/>
          <w:szCs w:val="24"/>
          <w:lang w:val="ru-RU" w:eastAsia="ru-RU"/>
        </w:rPr>
        <w:t>Last</w:t>
      </w:r>
      <w:proofErr w:type="spellEnd"/>
      <w:r w:rsidRPr="00914608">
        <w:rPr>
          <w:rFonts w:ascii="Times New Roman" w:eastAsia="Times New Roman" w:hAnsi="Times New Roman" w:cs="Times New Roman"/>
          <w:sz w:val="24"/>
          <w:szCs w:val="24"/>
          <w:lang w:val="ru-RU" w:eastAsia="ru-RU"/>
        </w:rPr>
        <w:t xml:space="preserve"> </w:t>
      </w:r>
      <w:proofErr w:type="spellStart"/>
      <w:r w:rsidRPr="00914608">
        <w:rPr>
          <w:rFonts w:ascii="Times New Roman" w:eastAsia="Times New Roman" w:hAnsi="Times New Roman" w:cs="Times New Roman"/>
          <w:sz w:val="24"/>
          <w:szCs w:val="24"/>
          <w:lang w:val="ru-RU" w:eastAsia="ru-RU"/>
        </w:rPr>
        <w:t>updated</w:t>
      </w:r>
      <w:proofErr w:type="spellEnd"/>
      <w:r w:rsidRPr="00914608">
        <w:rPr>
          <w:rFonts w:ascii="Times New Roman" w:eastAsia="Times New Roman" w:hAnsi="Times New Roman" w:cs="Times New Roman"/>
          <w:sz w:val="24"/>
          <w:szCs w:val="24"/>
          <w:lang w:val="ru-RU" w:eastAsia="ru-RU"/>
        </w:rPr>
        <w:t xml:space="preserve"> 2017-01-10</w:t>
      </w:r>
    </w:p>
    <w:p w:rsidR="00674831" w:rsidRDefault="003D31E0"/>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914608"/>
    <w:rsid w:val="00105458"/>
    <w:rsid w:val="001A6DBB"/>
    <w:rsid w:val="00200C7C"/>
    <w:rsid w:val="003D31E0"/>
    <w:rsid w:val="004632FE"/>
    <w:rsid w:val="00821812"/>
    <w:rsid w:val="008C56BE"/>
    <w:rsid w:val="00914608"/>
    <w:rsid w:val="009B5C4E"/>
    <w:rsid w:val="00B147DC"/>
    <w:rsid w:val="00B150B6"/>
    <w:rsid w:val="00C85CD0"/>
    <w:rsid w:val="00CA06FB"/>
    <w:rsid w:val="00CF47B2"/>
    <w:rsid w:val="00D06711"/>
    <w:rsid w:val="00D4651B"/>
    <w:rsid w:val="00EF20AB"/>
    <w:rsid w:val="00F234EA"/>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ind w:left="851" w:firstLine="42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914608"/>
    <w:pPr>
      <w:spacing w:before="100" w:beforeAutospacing="1" w:after="100" w:afterAutospacing="1"/>
      <w:ind w:left="0" w:firstLine="0"/>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914608"/>
    <w:pPr>
      <w:spacing w:before="100" w:beforeAutospacing="1" w:after="100" w:afterAutospacing="1"/>
      <w:ind w:left="0" w:firstLine="0"/>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4608"/>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914608"/>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914608"/>
  </w:style>
  <w:style w:type="paragraph" w:styleId="a3">
    <w:name w:val="Normal (Web)"/>
    <w:basedOn w:val="a"/>
    <w:uiPriority w:val="99"/>
    <w:unhideWhenUsed/>
    <w:rsid w:val="00914608"/>
    <w:pPr>
      <w:spacing w:before="100" w:beforeAutospacing="1" w:after="100" w:afterAutospacing="1"/>
      <w:ind w:left="0" w:firstLine="0"/>
    </w:pPr>
    <w:rPr>
      <w:rFonts w:ascii="Times New Roman" w:eastAsia="Times New Roman" w:hAnsi="Times New Roman" w:cs="Times New Roman"/>
      <w:sz w:val="24"/>
      <w:szCs w:val="24"/>
      <w:lang w:val="ru-RU" w:eastAsia="ru-RU"/>
    </w:rPr>
  </w:style>
  <w:style w:type="character" w:styleId="a4">
    <w:name w:val="Strong"/>
    <w:basedOn w:val="a0"/>
    <w:uiPriority w:val="22"/>
    <w:qFormat/>
    <w:rsid w:val="00914608"/>
    <w:rPr>
      <w:b/>
      <w:bCs/>
    </w:rPr>
  </w:style>
  <w:style w:type="character" w:styleId="a5">
    <w:name w:val="Emphasis"/>
    <w:basedOn w:val="a0"/>
    <w:uiPriority w:val="20"/>
    <w:qFormat/>
    <w:rsid w:val="00914608"/>
    <w:rPr>
      <w:i/>
      <w:iCs/>
    </w:rPr>
  </w:style>
  <w:style w:type="character" w:styleId="a6">
    <w:name w:val="Hyperlink"/>
    <w:basedOn w:val="a0"/>
    <w:uiPriority w:val="99"/>
    <w:semiHidden/>
    <w:unhideWhenUsed/>
    <w:rsid w:val="00914608"/>
    <w:rPr>
      <w:color w:val="0000FF"/>
      <w:u w:val="single"/>
    </w:rPr>
  </w:style>
  <w:style w:type="paragraph" w:styleId="a7">
    <w:name w:val="Balloon Text"/>
    <w:basedOn w:val="a"/>
    <w:link w:val="a8"/>
    <w:uiPriority w:val="99"/>
    <w:semiHidden/>
    <w:unhideWhenUsed/>
    <w:rsid w:val="00914608"/>
    <w:rPr>
      <w:rFonts w:ascii="Tahoma" w:hAnsi="Tahoma" w:cs="Tahoma"/>
      <w:sz w:val="16"/>
      <w:szCs w:val="16"/>
    </w:rPr>
  </w:style>
  <w:style w:type="character" w:customStyle="1" w:styleId="a8">
    <w:name w:val="Текст выноски Знак"/>
    <w:basedOn w:val="a0"/>
    <w:link w:val="a7"/>
    <w:uiPriority w:val="99"/>
    <w:semiHidden/>
    <w:rsid w:val="009146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6419869">
      <w:bodyDiv w:val="1"/>
      <w:marLeft w:val="0"/>
      <w:marRight w:val="0"/>
      <w:marTop w:val="0"/>
      <w:marBottom w:val="0"/>
      <w:divBdr>
        <w:top w:val="none" w:sz="0" w:space="0" w:color="auto"/>
        <w:left w:val="none" w:sz="0" w:space="0" w:color="auto"/>
        <w:bottom w:val="none" w:sz="0" w:space="0" w:color="auto"/>
        <w:right w:val="none" w:sz="0" w:space="0" w:color="auto"/>
      </w:divBdr>
    </w:div>
    <w:div w:id="761099339">
      <w:bodyDiv w:val="1"/>
      <w:marLeft w:val="0"/>
      <w:marRight w:val="0"/>
      <w:marTop w:val="0"/>
      <w:marBottom w:val="0"/>
      <w:divBdr>
        <w:top w:val="none" w:sz="0" w:space="0" w:color="auto"/>
        <w:left w:val="none" w:sz="0" w:space="0" w:color="auto"/>
        <w:bottom w:val="none" w:sz="0" w:space="0" w:color="auto"/>
        <w:right w:val="none" w:sz="0" w:space="0" w:color="auto"/>
      </w:divBdr>
      <w:divsChild>
        <w:div w:id="417487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1795</Words>
  <Characters>10233</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2017-11-03T12:59:00Z</dcterms:created>
  <dcterms:modified xsi:type="dcterms:W3CDTF">2017-11-07T19:58:00Z</dcterms:modified>
</cp:coreProperties>
</file>