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03B" w:rsidRPr="00354302" w:rsidRDefault="00E9503B" w:rsidP="00E9503B">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6E59C4" w:rsidRPr="006E59C4" w:rsidRDefault="006E59C4" w:rsidP="006E59C4">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6E59C4">
        <w:rPr>
          <w:rFonts w:ascii="Times New Roman" w:eastAsia="Times New Roman" w:hAnsi="Times New Roman" w:cs="Times New Roman"/>
          <w:b/>
          <w:bCs/>
          <w:kern w:val="36"/>
          <w:sz w:val="48"/>
          <w:szCs w:val="48"/>
          <w:lang w:val="ru-RU" w:eastAsia="ru-RU"/>
        </w:rPr>
        <w:t xml:space="preserve">Конфигурации последовательных и параллельных аккумуляторов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b/>
          <w:bCs/>
          <w:sz w:val="24"/>
          <w:szCs w:val="24"/>
          <w:lang w:val="ru-RU" w:eastAsia="ru-RU"/>
        </w:rPr>
        <w:t>Узнайте, как организовать батареи для увеличения напряжения или увеличения емкости.</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Батареи достигают желаемого рабочего напряжения путем последовательного подключения нескольких ячеек; каждая ячейка добавляет свой потенциал напряжения для вывода на общее напряжение клеммы. Параллельное соединение достигает большей емкости, суммируя общий ампер-час (</w:t>
      </w:r>
      <w:proofErr w:type="spellStart"/>
      <w:r w:rsidRPr="006E59C4">
        <w:rPr>
          <w:rFonts w:ascii="Times New Roman" w:eastAsia="Times New Roman" w:hAnsi="Times New Roman" w:cs="Times New Roman"/>
          <w:sz w:val="24"/>
          <w:szCs w:val="24"/>
          <w:lang w:val="ru-RU" w:eastAsia="ru-RU"/>
        </w:rPr>
        <w:t>Ah</w:t>
      </w:r>
      <w:proofErr w:type="spellEnd"/>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Некоторые пакеты могут состоять из комбинации последовательных и параллельных соединений. Аккумуляторы для ноутбуков обычно имеют четыре литиево-ионных элемента 3,6</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w:t>
      </w:r>
      <w:proofErr w:type="spellStart"/>
      <w:r w:rsidRPr="006E59C4">
        <w:rPr>
          <w:rFonts w:ascii="Times New Roman" w:eastAsia="Times New Roman" w:hAnsi="Times New Roman" w:cs="Times New Roman"/>
          <w:sz w:val="24"/>
          <w:szCs w:val="24"/>
          <w:lang w:val="ru-RU" w:eastAsia="ru-RU"/>
        </w:rPr>
        <w:t>в</w:t>
      </w:r>
      <w:proofErr w:type="spellEnd"/>
      <w:r w:rsidRPr="006E59C4">
        <w:rPr>
          <w:rFonts w:ascii="Times New Roman" w:eastAsia="Times New Roman" w:hAnsi="Times New Roman" w:cs="Times New Roman"/>
          <w:sz w:val="24"/>
          <w:szCs w:val="24"/>
          <w:lang w:val="ru-RU" w:eastAsia="ru-RU"/>
        </w:rPr>
        <w:t xml:space="preserve"> серии для достижения номинального напряжения 14,4 В и два параллельно для увеличения емкости от 2,400 мА до 4,800 </w:t>
      </w:r>
      <w:proofErr w:type="spellStart"/>
      <w:r w:rsidRPr="006E59C4">
        <w:rPr>
          <w:rFonts w:ascii="Times New Roman" w:eastAsia="Times New Roman" w:hAnsi="Times New Roman" w:cs="Times New Roman"/>
          <w:sz w:val="24"/>
          <w:szCs w:val="24"/>
          <w:lang w:val="ru-RU" w:eastAsia="ru-RU"/>
        </w:rPr>
        <w:t>мАч</w:t>
      </w:r>
      <w:proofErr w:type="spellEnd"/>
      <w:r w:rsidRPr="006E59C4">
        <w:rPr>
          <w:rFonts w:ascii="Times New Roman" w:eastAsia="Times New Roman" w:hAnsi="Times New Roman" w:cs="Times New Roman"/>
          <w:sz w:val="24"/>
          <w:szCs w:val="24"/>
          <w:lang w:val="ru-RU" w:eastAsia="ru-RU"/>
        </w:rPr>
        <w:t xml:space="preserve">. Такая конфигурация называется 4s2p, что означает четыре ячейки последовательно и два параллельно. Изолирующая фольга между ячейками предотвращает электрический ток проводящей металлической оболочки.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Большинство химикатов аккумуляторов поддаются серийному и параллельному соединению. Важно использовать один и тот же тип батареи с одинаковым напряжением и емкостью (</w:t>
      </w:r>
      <w:proofErr w:type="spellStart"/>
      <w:r w:rsidRPr="006E59C4">
        <w:rPr>
          <w:rFonts w:ascii="Times New Roman" w:eastAsia="Times New Roman" w:hAnsi="Times New Roman" w:cs="Times New Roman"/>
          <w:sz w:val="24"/>
          <w:szCs w:val="24"/>
          <w:lang w:val="ru-RU" w:eastAsia="ru-RU"/>
        </w:rPr>
        <w:t>Ач</w:t>
      </w:r>
      <w:proofErr w:type="spellEnd"/>
      <w:r w:rsidRPr="006E59C4">
        <w:rPr>
          <w:rFonts w:ascii="Times New Roman" w:eastAsia="Times New Roman" w:hAnsi="Times New Roman" w:cs="Times New Roman"/>
          <w:sz w:val="24"/>
          <w:szCs w:val="24"/>
          <w:lang w:val="ru-RU" w:eastAsia="ru-RU"/>
        </w:rPr>
        <w:t xml:space="preserve">) и никогда не смешивать разные марки и размеры. Более слабая ячейка вызовет дисбаланс. Это особенно важно в конфигурации серии, поскольку батарея только сильна, как самое слабое звено в цепи. Аналогия - это цепь, в которой звенья представляют собой ячейки подключенной батареи (рис. 1). </w:t>
      </w:r>
    </w:p>
    <w:tbl>
      <w:tblPr>
        <w:tblW w:w="8550" w:type="dxa"/>
        <w:tblCellSpacing w:w="0" w:type="dxa"/>
        <w:tblCellMar>
          <w:top w:w="150" w:type="dxa"/>
          <w:left w:w="150" w:type="dxa"/>
          <w:bottom w:w="150" w:type="dxa"/>
          <w:right w:w="150" w:type="dxa"/>
        </w:tblCellMar>
        <w:tblLook w:val="04A0"/>
      </w:tblPr>
      <w:tblGrid>
        <w:gridCol w:w="3900"/>
        <w:gridCol w:w="4650"/>
      </w:tblGrid>
      <w:tr w:rsidR="006E59C4" w:rsidRPr="006E59C4" w:rsidTr="006E59C4">
        <w:trPr>
          <w:tblCellSpacing w:w="0" w:type="dxa"/>
        </w:trPr>
        <w:tc>
          <w:tcPr>
            <w:tcW w:w="0" w:type="auto"/>
            <w:vAlign w:val="center"/>
            <w:hideMark/>
          </w:tcPr>
          <w:p w:rsidR="006E59C4" w:rsidRPr="006E59C4" w:rsidRDefault="006E59C4" w:rsidP="006E59C4">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257425" cy="581025"/>
                  <wp:effectExtent l="19050" t="0" r="9525" b="0"/>
                  <wp:docPr id="1" name="Рисунок 1" descr="цеп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епь"/>
                          <pic:cNvPicPr>
                            <a:picLocks noChangeAspect="1" noChangeArrowheads="1"/>
                          </pic:cNvPicPr>
                        </pic:nvPicPr>
                        <pic:blipFill>
                          <a:blip r:embed="rId5"/>
                          <a:srcRect/>
                          <a:stretch>
                            <a:fillRect/>
                          </a:stretch>
                        </pic:blipFill>
                        <pic:spPr bwMode="auto">
                          <a:xfrm>
                            <a:off x="0" y="0"/>
                            <a:ext cx="2257425" cy="581025"/>
                          </a:xfrm>
                          <a:prstGeom prst="rect">
                            <a:avLst/>
                          </a:prstGeom>
                          <a:noFill/>
                          <a:ln w="9525">
                            <a:noFill/>
                            <a:miter lim="800000"/>
                            <a:headEnd/>
                            <a:tailEnd/>
                          </a:ln>
                        </pic:spPr>
                      </pic:pic>
                    </a:graphicData>
                  </a:graphic>
                </wp:inline>
              </w:drawing>
            </w:r>
          </w:p>
        </w:tc>
        <w:tc>
          <w:tcPr>
            <w:tcW w:w="0" w:type="auto"/>
            <w:vAlign w:val="center"/>
            <w:hideMark/>
          </w:tcPr>
          <w:p w:rsidR="006E59C4" w:rsidRPr="006E59C4" w:rsidRDefault="006E59C4" w:rsidP="006E59C4">
            <w:pPr>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1: Сравнение батареи с цепью.</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Цепные ссылки представляют ячейки последовательно для увеличения напряжения, удвоение ссылки означает параллельное соединение для повышения токовой нагрузки. </w:t>
            </w:r>
          </w:p>
        </w:tc>
      </w:tr>
    </w:tbl>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Слабая ячейка может не сработать немедленно, но она будет исчерпана быстрее, чем </w:t>
      </w:r>
      <w:proofErr w:type="gramStart"/>
      <w:r w:rsidRPr="006E59C4">
        <w:rPr>
          <w:rFonts w:ascii="Times New Roman" w:eastAsia="Times New Roman" w:hAnsi="Times New Roman" w:cs="Times New Roman"/>
          <w:sz w:val="24"/>
          <w:szCs w:val="24"/>
          <w:lang w:val="ru-RU" w:eastAsia="ru-RU"/>
        </w:rPr>
        <w:t>сильные</w:t>
      </w:r>
      <w:proofErr w:type="gramEnd"/>
      <w:r w:rsidRPr="006E59C4">
        <w:rPr>
          <w:rFonts w:ascii="Times New Roman" w:eastAsia="Times New Roman" w:hAnsi="Times New Roman" w:cs="Times New Roman"/>
          <w:sz w:val="24"/>
          <w:szCs w:val="24"/>
          <w:lang w:val="ru-RU" w:eastAsia="ru-RU"/>
        </w:rPr>
        <w:t xml:space="preserve">, когда нагрузка. При зарядке нижняя ячейка заполняется </w:t>
      </w:r>
      <w:proofErr w:type="gramStart"/>
      <w:r w:rsidRPr="006E59C4">
        <w:rPr>
          <w:rFonts w:ascii="Times New Roman" w:eastAsia="Times New Roman" w:hAnsi="Times New Roman" w:cs="Times New Roman"/>
          <w:sz w:val="24"/>
          <w:szCs w:val="24"/>
          <w:lang w:val="ru-RU" w:eastAsia="ru-RU"/>
        </w:rPr>
        <w:t>перед</w:t>
      </w:r>
      <w:proofErr w:type="gramEnd"/>
      <w:r w:rsidRPr="006E59C4">
        <w:rPr>
          <w:rFonts w:ascii="Times New Roman" w:eastAsia="Times New Roman" w:hAnsi="Times New Roman" w:cs="Times New Roman"/>
          <w:sz w:val="24"/>
          <w:szCs w:val="24"/>
          <w:lang w:val="ru-RU" w:eastAsia="ru-RU"/>
        </w:rPr>
        <w:t xml:space="preserve"> сильными, потому что ее меньше, и она остается чрезмерно заряженной дольше остальных. При разгрузке слабая клетка опустошается сначала и забивается более сильными братьями. Ячейки в нескольких упаковках должны быть сопоставлены, особенно при использовании при тяжелых нагрузках. (См. </w:t>
      </w:r>
      <w:r w:rsidRPr="006E59C4">
        <w:rPr>
          <w:rFonts w:ascii="Times New Roman" w:eastAsia="Times New Roman" w:hAnsi="Times New Roman" w:cs="Times New Roman"/>
          <w:color w:val="0000FF"/>
          <w:sz w:val="24"/>
          <w:szCs w:val="24"/>
          <w:u w:val="single"/>
          <w:lang w:val="ru-RU" w:eastAsia="ru-RU"/>
        </w:rPr>
        <w:t>Сопротивление ячеек, Балансировка</w:t>
      </w:r>
      <w:proofErr w:type="gramStart"/>
      <w:r w:rsidRPr="006E59C4">
        <w:rPr>
          <w:rFonts w:ascii="Times New Roman" w:eastAsia="Times New Roman" w:hAnsi="Times New Roman" w:cs="Times New Roman"/>
          <w:sz w:val="24"/>
          <w:szCs w:val="24"/>
          <w:lang w:val="ru-RU" w:eastAsia="ru-RU"/>
        </w:rPr>
        <w:t xml:space="preserve"> )</w:t>
      </w:r>
      <w:proofErr w:type="gramEnd"/>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br/>
        <w:t xml:space="preserve">Приложения с одной ячейкой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Конфигурация с одной ячейкой является самым простым аккумулятором; ячейка не нуждается в согласовании, и схема защиты на небольшой </w:t>
      </w:r>
      <w:proofErr w:type="spellStart"/>
      <w:proofErr w:type="gramStart"/>
      <w:r w:rsidRPr="006E59C4">
        <w:rPr>
          <w:rFonts w:ascii="Times New Roman" w:eastAsia="Times New Roman" w:hAnsi="Times New Roman" w:cs="Times New Roman"/>
          <w:sz w:val="24"/>
          <w:szCs w:val="24"/>
          <w:lang w:val="ru-RU" w:eastAsia="ru-RU"/>
        </w:rPr>
        <w:t>литий-ионной</w:t>
      </w:r>
      <w:proofErr w:type="spellEnd"/>
      <w:proofErr w:type="gramEnd"/>
      <w:r w:rsidRPr="006E59C4">
        <w:rPr>
          <w:rFonts w:ascii="Times New Roman" w:eastAsia="Times New Roman" w:hAnsi="Times New Roman" w:cs="Times New Roman"/>
          <w:sz w:val="24"/>
          <w:szCs w:val="24"/>
          <w:lang w:val="ru-RU" w:eastAsia="ru-RU"/>
        </w:rPr>
        <w:t xml:space="preserve"> ячейке может быть простой. Типичными примерами являются мобильные </w:t>
      </w:r>
      <w:proofErr w:type="gramStart"/>
      <w:r w:rsidRPr="006E59C4">
        <w:rPr>
          <w:rFonts w:ascii="Times New Roman" w:eastAsia="Times New Roman" w:hAnsi="Times New Roman" w:cs="Times New Roman"/>
          <w:sz w:val="24"/>
          <w:szCs w:val="24"/>
          <w:lang w:val="ru-RU" w:eastAsia="ru-RU"/>
        </w:rPr>
        <w:t>телефоны</w:t>
      </w:r>
      <w:proofErr w:type="gramEnd"/>
      <w:r w:rsidRPr="006E59C4">
        <w:rPr>
          <w:rFonts w:ascii="Times New Roman" w:eastAsia="Times New Roman" w:hAnsi="Times New Roman" w:cs="Times New Roman"/>
          <w:sz w:val="24"/>
          <w:szCs w:val="24"/>
          <w:lang w:val="ru-RU" w:eastAsia="ru-RU"/>
        </w:rPr>
        <w:t xml:space="preserve"> и таблетки с одной </w:t>
      </w:r>
      <w:proofErr w:type="spellStart"/>
      <w:r w:rsidRPr="006E59C4">
        <w:rPr>
          <w:rFonts w:ascii="Times New Roman" w:eastAsia="Times New Roman" w:hAnsi="Times New Roman" w:cs="Times New Roman"/>
          <w:sz w:val="24"/>
          <w:szCs w:val="24"/>
          <w:lang w:val="ru-RU" w:eastAsia="ru-RU"/>
        </w:rPr>
        <w:t>литий-ионной</w:t>
      </w:r>
      <w:proofErr w:type="spellEnd"/>
      <w:r w:rsidRPr="006E59C4">
        <w:rPr>
          <w:rFonts w:ascii="Times New Roman" w:eastAsia="Times New Roman" w:hAnsi="Times New Roman" w:cs="Times New Roman"/>
          <w:sz w:val="24"/>
          <w:szCs w:val="24"/>
          <w:lang w:val="ru-RU" w:eastAsia="ru-RU"/>
        </w:rPr>
        <w:t xml:space="preserve"> ячейкой 3,60 В. Другими видами использования одной ячейки являются настенные часы, которые обычно используют щелочную ячейку 1,5 В, наручные часы и резервное копирование памяти, большинство из которых являются приложениями с очень низким энергопотреблением.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Номинальное напряжение ячейки для никелевой батареи составляет 1,2</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щелочь - 1,5 В; оксид серебра составляет 1,6 В, а свинцово-кислотная - 2,0 В. Первичные литиевые батареи находятся в диапазоне от 3,0 до 3,9 В. Литий-ион составляет 3,6 В; Li-фосфат составляет 3,2 В, а </w:t>
      </w:r>
      <w:proofErr w:type="spellStart"/>
      <w:r w:rsidRPr="006E59C4">
        <w:rPr>
          <w:rFonts w:ascii="Times New Roman" w:eastAsia="Times New Roman" w:hAnsi="Times New Roman" w:cs="Times New Roman"/>
          <w:sz w:val="24"/>
          <w:szCs w:val="24"/>
          <w:lang w:val="ru-RU" w:eastAsia="ru-RU"/>
        </w:rPr>
        <w:t>Li-титанат</w:t>
      </w:r>
      <w:proofErr w:type="spellEnd"/>
      <w:r w:rsidRPr="006E59C4">
        <w:rPr>
          <w:rFonts w:ascii="Times New Roman" w:eastAsia="Times New Roman" w:hAnsi="Times New Roman" w:cs="Times New Roman"/>
          <w:sz w:val="24"/>
          <w:szCs w:val="24"/>
          <w:lang w:val="ru-RU" w:eastAsia="ru-RU"/>
        </w:rPr>
        <w:t xml:space="preserve"> - 2,4 В.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lastRenderedPageBreak/>
        <w:t>Литий-марганец и другие литиевые системы часто используют напряжения в ячейках 3,7</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и выше. Это связано не только с химией, но и с более высоким ватт-часом (</w:t>
      </w:r>
      <w:proofErr w:type="spellStart"/>
      <w:r w:rsidRPr="006E59C4">
        <w:rPr>
          <w:rFonts w:ascii="Times New Roman" w:eastAsia="Times New Roman" w:hAnsi="Times New Roman" w:cs="Times New Roman"/>
          <w:sz w:val="24"/>
          <w:szCs w:val="24"/>
          <w:lang w:val="ru-RU" w:eastAsia="ru-RU"/>
        </w:rPr>
        <w:t>Втч</w:t>
      </w:r>
      <w:proofErr w:type="spellEnd"/>
      <w:r w:rsidRPr="006E59C4">
        <w:rPr>
          <w:rFonts w:ascii="Times New Roman" w:eastAsia="Times New Roman" w:hAnsi="Times New Roman" w:cs="Times New Roman"/>
          <w:sz w:val="24"/>
          <w:szCs w:val="24"/>
          <w:lang w:val="ru-RU" w:eastAsia="ru-RU"/>
        </w:rPr>
        <w:t>), что стало возможным благодаря более высокому напряжению. Аргумент заключается в том, что низкое внутреннее сопротивление ячейки удерживает напряжение под нагрузкой. Для оперативных целей эти клетки занимают 3,6</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кандидатов</w:t>
      </w:r>
      <w:r w:rsidR="004C01C6">
        <w:rPr>
          <w:rFonts w:ascii="Times New Roman" w:eastAsia="Times New Roman" w:hAnsi="Times New Roman" w:cs="Times New Roman"/>
          <w:sz w:val="24"/>
          <w:szCs w:val="24"/>
          <w:lang w:val="ru-RU" w:eastAsia="ru-RU"/>
        </w:rPr>
        <w:t>.</w:t>
      </w:r>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br/>
        <w:t xml:space="preserve">Подключение серии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Портативное оборудование, требующее более высоких напряжений, использует батарейные блоки с двумя или более ячейками, подключенными последовательно. На рисунке 2 показан аккумуляторный блок с четырьмя </w:t>
      </w:r>
      <w:proofErr w:type="spellStart"/>
      <w:r w:rsidRPr="006E59C4">
        <w:rPr>
          <w:rFonts w:ascii="Times New Roman" w:eastAsia="Times New Roman" w:hAnsi="Times New Roman" w:cs="Times New Roman"/>
          <w:sz w:val="24"/>
          <w:szCs w:val="24"/>
          <w:lang w:val="ru-RU" w:eastAsia="ru-RU"/>
        </w:rPr>
        <w:t>литий-ионными</w:t>
      </w:r>
      <w:proofErr w:type="spellEnd"/>
      <w:r w:rsidRPr="006E59C4">
        <w:rPr>
          <w:rFonts w:ascii="Times New Roman" w:eastAsia="Times New Roman" w:hAnsi="Times New Roman" w:cs="Times New Roman"/>
          <w:sz w:val="24"/>
          <w:szCs w:val="24"/>
          <w:lang w:val="ru-RU" w:eastAsia="ru-RU"/>
        </w:rPr>
        <w:t xml:space="preserve"> ячейками 3.6</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также известный как 4S, для получения номинала 14,4 В. Для сравнения, шестицилиндровая свинцово-кислотная колонка с 2V / </w:t>
      </w:r>
      <w:proofErr w:type="spellStart"/>
      <w:r w:rsidRPr="006E59C4">
        <w:rPr>
          <w:rFonts w:ascii="Times New Roman" w:eastAsia="Times New Roman" w:hAnsi="Times New Roman" w:cs="Times New Roman"/>
          <w:sz w:val="24"/>
          <w:szCs w:val="24"/>
          <w:lang w:val="ru-RU" w:eastAsia="ru-RU"/>
        </w:rPr>
        <w:t>cell</w:t>
      </w:r>
      <w:proofErr w:type="spellEnd"/>
      <w:r w:rsidRPr="006E59C4">
        <w:rPr>
          <w:rFonts w:ascii="Times New Roman" w:eastAsia="Times New Roman" w:hAnsi="Times New Roman" w:cs="Times New Roman"/>
          <w:sz w:val="24"/>
          <w:szCs w:val="24"/>
          <w:lang w:val="ru-RU" w:eastAsia="ru-RU"/>
        </w:rPr>
        <w:t xml:space="preserve"> будет генерировать 12V, а четыре щелочных с 1,5V / </w:t>
      </w:r>
      <w:proofErr w:type="spellStart"/>
      <w:r w:rsidRPr="006E59C4">
        <w:rPr>
          <w:rFonts w:ascii="Times New Roman" w:eastAsia="Times New Roman" w:hAnsi="Times New Roman" w:cs="Times New Roman"/>
          <w:sz w:val="24"/>
          <w:szCs w:val="24"/>
          <w:lang w:val="ru-RU" w:eastAsia="ru-RU"/>
        </w:rPr>
        <w:t>cell</w:t>
      </w:r>
      <w:proofErr w:type="spellEnd"/>
      <w:r w:rsidRPr="006E59C4">
        <w:rPr>
          <w:rFonts w:ascii="Times New Roman" w:eastAsia="Times New Roman" w:hAnsi="Times New Roman" w:cs="Times New Roman"/>
          <w:sz w:val="24"/>
          <w:szCs w:val="24"/>
          <w:lang w:val="ru-RU" w:eastAsia="ru-RU"/>
        </w:rPr>
        <w:t xml:space="preserve"> будут давать 6V.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1028700"/>
            <wp:effectExtent l="19050" t="0" r="0" b="0"/>
            <wp:docPr id="2" name="Рисунок 2" descr="Последовательное соединение четыре NiCd или NiMH-элемен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следовательное соединение четыре NiCd или NiMH-элементы"/>
                    <pic:cNvPicPr>
                      <a:picLocks noChangeAspect="1" noChangeArrowheads="1"/>
                    </pic:cNvPicPr>
                  </pic:nvPicPr>
                  <pic:blipFill>
                    <a:blip r:embed="rId6"/>
                    <a:srcRect/>
                    <a:stretch>
                      <a:fillRect/>
                    </a:stretch>
                  </pic:blipFill>
                  <pic:spPr bwMode="auto">
                    <a:xfrm>
                      <a:off x="0" y="0"/>
                      <a:ext cx="5429250" cy="1028700"/>
                    </a:xfrm>
                    <a:prstGeom prst="rect">
                      <a:avLst/>
                    </a:prstGeom>
                    <a:noFill/>
                    <a:ln w="9525">
                      <a:noFill/>
                      <a:miter lim="800000"/>
                      <a:headEnd/>
                      <a:tailEnd/>
                    </a:ln>
                  </pic:spPr>
                </pic:pic>
              </a:graphicData>
            </a:graphic>
          </wp:inline>
        </w:drawing>
      </w:r>
    </w:p>
    <w:p w:rsidR="006E59C4" w:rsidRPr="006E59C4" w:rsidRDefault="006E59C4" w:rsidP="006E59C4">
      <w:pPr>
        <w:spacing w:before="100" w:beforeAutospacing="1" w:after="100" w:afterAutospacing="1"/>
        <w:ind w:left="12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2:</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b/>
          <w:bCs/>
          <w:sz w:val="24"/>
          <w:szCs w:val="24"/>
          <w:lang w:val="ru-RU" w:eastAsia="ru-RU"/>
        </w:rPr>
        <w:t>Соединение четырех ячеек (4s).</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Добавление ячеек в строку увеличивает напряжение; емкость остается прежней.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vertAlign w:val="superscript"/>
          <w:lang w:val="ru-RU" w:eastAsia="ru-RU"/>
        </w:rPr>
        <w:t xml:space="preserve">Предоставлено </w:t>
      </w:r>
      <w:proofErr w:type="spellStart"/>
      <w:r w:rsidRPr="006E59C4">
        <w:rPr>
          <w:rFonts w:ascii="Times New Roman" w:eastAsia="Times New Roman" w:hAnsi="Times New Roman" w:cs="Times New Roman"/>
          <w:sz w:val="24"/>
          <w:szCs w:val="24"/>
          <w:vertAlign w:val="superscript"/>
          <w:lang w:val="ru-RU" w:eastAsia="ru-RU"/>
        </w:rPr>
        <w:t>Cadex</w:t>
      </w:r>
      <w:proofErr w:type="spellEnd"/>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br/>
        <w:t xml:space="preserve">Если вам требуется нечетное напряжение, например, 9,50 вольт, подключите пять свинцовых кислот, восемь </w:t>
      </w:r>
      <w:proofErr w:type="spellStart"/>
      <w:r w:rsidRPr="006E59C4">
        <w:rPr>
          <w:rFonts w:ascii="Times New Roman" w:eastAsia="Times New Roman" w:hAnsi="Times New Roman" w:cs="Times New Roman"/>
          <w:sz w:val="24"/>
          <w:szCs w:val="24"/>
          <w:lang w:val="ru-RU" w:eastAsia="ru-RU"/>
        </w:rPr>
        <w:t>NiMH</w:t>
      </w:r>
      <w:proofErr w:type="spellEnd"/>
      <w:r w:rsidRPr="006E59C4">
        <w:rPr>
          <w:rFonts w:ascii="Times New Roman" w:eastAsia="Times New Roman" w:hAnsi="Times New Roman" w:cs="Times New Roman"/>
          <w:sz w:val="24"/>
          <w:szCs w:val="24"/>
          <w:lang w:val="ru-RU" w:eastAsia="ru-RU"/>
        </w:rPr>
        <w:t xml:space="preserve"> или </w:t>
      </w:r>
      <w:proofErr w:type="spellStart"/>
      <w:r w:rsidRPr="006E59C4">
        <w:rPr>
          <w:rFonts w:ascii="Times New Roman" w:eastAsia="Times New Roman" w:hAnsi="Times New Roman" w:cs="Times New Roman"/>
          <w:sz w:val="24"/>
          <w:szCs w:val="24"/>
          <w:lang w:val="ru-RU" w:eastAsia="ru-RU"/>
        </w:rPr>
        <w:t>NiCd</w:t>
      </w:r>
      <w:proofErr w:type="spellEnd"/>
      <w:r w:rsidRPr="006E59C4">
        <w:rPr>
          <w:rFonts w:ascii="Times New Roman" w:eastAsia="Times New Roman" w:hAnsi="Times New Roman" w:cs="Times New Roman"/>
          <w:sz w:val="24"/>
          <w:szCs w:val="24"/>
          <w:lang w:val="ru-RU" w:eastAsia="ru-RU"/>
        </w:rPr>
        <w:t xml:space="preserve"> или три </w:t>
      </w:r>
      <w:proofErr w:type="spellStart"/>
      <w:proofErr w:type="gramStart"/>
      <w:r w:rsidRPr="006E59C4">
        <w:rPr>
          <w:rFonts w:ascii="Times New Roman" w:eastAsia="Times New Roman" w:hAnsi="Times New Roman" w:cs="Times New Roman"/>
          <w:sz w:val="24"/>
          <w:szCs w:val="24"/>
          <w:lang w:val="ru-RU" w:eastAsia="ru-RU"/>
        </w:rPr>
        <w:t>литий-ионных</w:t>
      </w:r>
      <w:proofErr w:type="spellEnd"/>
      <w:proofErr w:type="gramEnd"/>
      <w:r w:rsidRPr="006E59C4">
        <w:rPr>
          <w:rFonts w:ascii="Times New Roman" w:eastAsia="Times New Roman" w:hAnsi="Times New Roman" w:cs="Times New Roman"/>
          <w:sz w:val="24"/>
          <w:szCs w:val="24"/>
          <w:lang w:val="ru-RU" w:eastAsia="ru-RU"/>
        </w:rPr>
        <w:t xml:space="preserve"> последовательно. Конечное напряжение батареи не обязательно должно быть точным, если оно выше, чем указано устройством. Питание 12</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может работать вместо 9,50 В. Большинство устройств с батарейным питанием могут переносить некоторое перенапряжение; однако необходимо соблюдать предельное напряжение на выходе.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Высоковольтные аккумуляторы сохраняют размер проводника </w:t>
      </w:r>
      <w:proofErr w:type="gramStart"/>
      <w:r w:rsidRPr="006E59C4">
        <w:rPr>
          <w:rFonts w:ascii="Times New Roman" w:eastAsia="Times New Roman" w:hAnsi="Times New Roman" w:cs="Times New Roman"/>
          <w:sz w:val="24"/>
          <w:szCs w:val="24"/>
          <w:lang w:val="ru-RU" w:eastAsia="ru-RU"/>
        </w:rPr>
        <w:t>небольшим</w:t>
      </w:r>
      <w:proofErr w:type="gramEnd"/>
      <w:r w:rsidRPr="006E59C4">
        <w:rPr>
          <w:rFonts w:ascii="Times New Roman" w:eastAsia="Times New Roman" w:hAnsi="Times New Roman" w:cs="Times New Roman"/>
          <w:sz w:val="24"/>
          <w:szCs w:val="24"/>
          <w:lang w:val="ru-RU" w:eastAsia="ru-RU"/>
        </w:rPr>
        <w:t xml:space="preserve">. Аккумуляторные электроинструменты работают на батареях 12В и 18В; </w:t>
      </w:r>
      <w:proofErr w:type="spellStart"/>
      <w:r w:rsidRPr="006E59C4">
        <w:rPr>
          <w:rFonts w:ascii="Times New Roman" w:eastAsia="Times New Roman" w:hAnsi="Times New Roman" w:cs="Times New Roman"/>
          <w:sz w:val="24"/>
          <w:szCs w:val="24"/>
          <w:lang w:val="ru-RU" w:eastAsia="ru-RU"/>
        </w:rPr>
        <w:t>high-end</w:t>
      </w:r>
      <w:proofErr w:type="spellEnd"/>
      <w:r w:rsidRPr="006E59C4">
        <w:rPr>
          <w:rFonts w:ascii="Times New Roman" w:eastAsia="Times New Roman" w:hAnsi="Times New Roman" w:cs="Times New Roman"/>
          <w:sz w:val="24"/>
          <w:szCs w:val="24"/>
          <w:lang w:val="ru-RU" w:eastAsia="ru-RU"/>
        </w:rPr>
        <w:t xml:space="preserve"> модели используют 24V и 36V. Большинство электронных велосипедов поставляются с </w:t>
      </w:r>
      <w:proofErr w:type="spellStart"/>
      <w:r w:rsidRPr="006E59C4">
        <w:rPr>
          <w:rFonts w:ascii="Times New Roman" w:eastAsia="Times New Roman" w:hAnsi="Times New Roman" w:cs="Times New Roman"/>
          <w:sz w:val="24"/>
          <w:szCs w:val="24"/>
          <w:lang w:val="ru-RU" w:eastAsia="ru-RU"/>
        </w:rPr>
        <w:t>литий-ионным</w:t>
      </w:r>
      <w:proofErr w:type="spellEnd"/>
      <w:r w:rsidRPr="006E59C4">
        <w:rPr>
          <w:rFonts w:ascii="Times New Roman" w:eastAsia="Times New Roman" w:hAnsi="Times New Roman" w:cs="Times New Roman"/>
          <w:sz w:val="24"/>
          <w:szCs w:val="24"/>
          <w:lang w:val="ru-RU" w:eastAsia="ru-RU"/>
        </w:rPr>
        <w:t xml:space="preserve"> аккумулятором 36</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некоторые из них - 48 В. Автомобильная промышленность хотела увеличить стартерную батарею от 12 В (14 В) до 36 В, более известную как 42В, путем размещения 18 свинцовых кислотных ячеек в серии. Логистика изменения электрических компонентов и проблем с дугами на механических переключателях сменила ход.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Некоторые мягкие гибридные автомобили работают на </w:t>
      </w:r>
      <w:proofErr w:type="spellStart"/>
      <w:r w:rsidRPr="006E59C4">
        <w:rPr>
          <w:rFonts w:ascii="Times New Roman" w:eastAsia="Times New Roman" w:hAnsi="Times New Roman" w:cs="Times New Roman"/>
          <w:sz w:val="24"/>
          <w:szCs w:val="24"/>
          <w:lang w:val="ru-RU" w:eastAsia="ru-RU"/>
        </w:rPr>
        <w:t>Li-ion</w:t>
      </w:r>
      <w:proofErr w:type="spellEnd"/>
      <w:r w:rsidRPr="006E59C4">
        <w:rPr>
          <w:rFonts w:ascii="Times New Roman" w:eastAsia="Times New Roman" w:hAnsi="Times New Roman" w:cs="Times New Roman"/>
          <w:sz w:val="24"/>
          <w:szCs w:val="24"/>
          <w:lang w:val="ru-RU" w:eastAsia="ru-RU"/>
        </w:rPr>
        <w:t xml:space="preserve"> 48V и используют DC-DC-преобразование в 12V для электрической системы. Запуск двигателя часто осуществляется отдельной свинцово-кислотной батареей 12 В. Ранние </w:t>
      </w:r>
      <w:r w:rsidRPr="004C01C6">
        <w:rPr>
          <w:rFonts w:ascii="Times New Roman" w:eastAsia="Times New Roman" w:hAnsi="Times New Roman" w:cs="Times New Roman"/>
          <w:sz w:val="24"/>
          <w:szCs w:val="24"/>
          <w:lang w:val="ru-RU" w:eastAsia="ru-RU"/>
        </w:rPr>
        <w:t>гибридные автомобили</w:t>
      </w:r>
      <w:r w:rsidRPr="006E59C4">
        <w:rPr>
          <w:rFonts w:ascii="Times New Roman" w:eastAsia="Times New Roman" w:hAnsi="Times New Roman" w:cs="Times New Roman"/>
          <w:sz w:val="24"/>
          <w:szCs w:val="24"/>
          <w:lang w:val="ru-RU" w:eastAsia="ru-RU"/>
        </w:rPr>
        <w:t xml:space="preserve"> работали на батарее 148 В; </w:t>
      </w:r>
      <w:r w:rsidRPr="004C01C6">
        <w:rPr>
          <w:rFonts w:ascii="Times New Roman" w:eastAsia="Times New Roman" w:hAnsi="Times New Roman" w:cs="Times New Roman"/>
          <w:sz w:val="24"/>
          <w:szCs w:val="24"/>
          <w:lang w:val="ru-RU" w:eastAsia="ru-RU"/>
        </w:rPr>
        <w:t>Электрические транспортные средства</w:t>
      </w:r>
      <w:r w:rsidRPr="006E59C4">
        <w:rPr>
          <w:rFonts w:ascii="Times New Roman" w:eastAsia="Times New Roman" w:hAnsi="Times New Roman" w:cs="Times New Roman"/>
          <w:sz w:val="24"/>
          <w:szCs w:val="24"/>
          <w:lang w:val="ru-RU" w:eastAsia="ru-RU"/>
        </w:rPr>
        <w:t xml:space="preserve"> обычно составляют 450-500 В. Для такой батареи требуется более 100 </w:t>
      </w:r>
      <w:proofErr w:type="spellStart"/>
      <w:proofErr w:type="gramStart"/>
      <w:r w:rsidRPr="006E59C4">
        <w:rPr>
          <w:rFonts w:ascii="Times New Roman" w:eastAsia="Times New Roman" w:hAnsi="Times New Roman" w:cs="Times New Roman"/>
          <w:sz w:val="24"/>
          <w:szCs w:val="24"/>
          <w:lang w:val="ru-RU" w:eastAsia="ru-RU"/>
        </w:rPr>
        <w:t>литий-ионных</w:t>
      </w:r>
      <w:proofErr w:type="spellEnd"/>
      <w:proofErr w:type="gramEnd"/>
      <w:r w:rsidRPr="006E59C4">
        <w:rPr>
          <w:rFonts w:ascii="Times New Roman" w:eastAsia="Times New Roman" w:hAnsi="Times New Roman" w:cs="Times New Roman"/>
          <w:sz w:val="24"/>
          <w:szCs w:val="24"/>
          <w:lang w:val="ru-RU" w:eastAsia="ru-RU"/>
        </w:rPr>
        <w:t xml:space="preserve"> элементов, подключенных последовательно.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Высоковольтные батареи требуют тщательного </w:t>
      </w:r>
      <w:r w:rsidRPr="004C01C6">
        <w:rPr>
          <w:rFonts w:ascii="Times New Roman" w:eastAsia="Times New Roman" w:hAnsi="Times New Roman" w:cs="Times New Roman"/>
          <w:sz w:val="24"/>
          <w:szCs w:val="24"/>
          <w:lang w:val="ru-RU" w:eastAsia="ru-RU"/>
        </w:rPr>
        <w:t>сочленения</w:t>
      </w:r>
      <w:proofErr w:type="gramStart"/>
      <w:r w:rsidRPr="006E59C4">
        <w:rPr>
          <w:rFonts w:ascii="Times New Roman" w:eastAsia="Times New Roman" w:hAnsi="Times New Roman" w:cs="Times New Roman"/>
          <w:sz w:val="24"/>
          <w:szCs w:val="24"/>
          <w:lang w:val="ru-RU" w:eastAsia="ru-RU"/>
        </w:rPr>
        <w:t xml:space="preserve"> ,</w:t>
      </w:r>
      <w:proofErr w:type="gramEnd"/>
      <w:r w:rsidRPr="006E59C4">
        <w:rPr>
          <w:rFonts w:ascii="Times New Roman" w:eastAsia="Times New Roman" w:hAnsi="Times New Roman" w:cs="Times New Roman"/>
          <w:sz w:val="24"/>
          <w:szCs w:val="24"/>
          <w:lang w:val="ru-RU" w:eastAsia="ru-RU"/>
        </w:rPr>
        <w:t xml:space="preserve"> особенно при тяжелых нагрузках или при работе при низких температурах. С несколькими ячейками, связанными в строке, вероятность отказа одной ячейки реальна, и это может привести к сбою. Чтобы этого не произошло, твердотельный переключатель в некоторых крупных пакетах обходит отказоустойчивую ячейку, чтобы обеспечить постоянный ток, хотя и при более низком напряжении в строке.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Сопряжение ячеек является проблемой при замене неисправной ячейки в стареющем пакете. Новая ячейка обладает большей емкостью, чем другие, что вызывает дисбаланс. Сварная конструкция увеличивает сложность ремонта, и поэтому аккумуляторы обычно заменяются как единое целое.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Высоковольтные батареи в электрических транспортных средствах, в которых полная замена была бы </w:t>
      </w:r>
      <w:r w:rsidRPr="006E59C4">
        <w:rPr>
          <w:rFonts w:ascii="Times New Roman" w:eastAsia="Times New Roman" w:hAnsi="Times New Roman" w:cs="Times New Roman"/>
          <w:sz w:val="24"/>
          <w:szCs w:val="24"/>
          <w:lang w:val="ru-RU" w:eastAsia="ru-RU"/>
        </w:rPr>
        <w:lastRenderedPageBreak/>
        <w:t xml:space="preserve">запретительной, делят пакет на модули, каждый из которых состоит из определенного количества ячеек. Если одна ячейка выходит из строя, заменяется только затронутый модуль. Может возникнуть небольшой дисбаланс, если новый модуль будет оснащен новыми ячейками. </w:t>
      </w:r>
      <w:r w:rsidRPr="006E59C4">
        <w:rPr>
          <w:rFonts w:ascii="Times New Roman" w:eastAsia="Times New Roman" w:hAnsi="Times New Roman" w:cs="Times New Roman"/>
          <w:sz w:val="24"/>
          <w:szCs w:val="24"/>
          <w:lang w:val="ru-RU" w:eastAsia="ru-RU"/>
        </w:rPr>
        <w:br/>
        <w:t>На рисунке 3 показан аккумулятор, в котором «ячейка 3» производит только 2,8</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вместо полного номинального 3,6 В. При пониженном рабочем напряжении эта батарея достигает точки окончания разряда раньше, чем обычная упаковка. Напряжение падает, и устройство выключается с сообщением «Низкая батарея».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br/>
      </w:r>
      <w:r>
        <w:rPr>
          <w:rFonts w:ascii="Times New Roman" w:eastAsia="Times New Roman" w:hAnsi="Times New Roman" w:cs="Times New Roman"/>
          <w:noProof/>
          <w:sz w:val="24"/>
          <w:szCs w:val="24"/>
          <w:lang w:val="ru-RU" w:eastAsia="ru-RU"/>
        </w:rPr>
        <w:drawing>
          <wp:inline distT="0" distB="0" distL="0" distR="0">
            <wp:extent cx="5429250" cy="1028700"/>
            <wp:effectExtent l="19050" t="0" r="0" b="0"/>
            <wp:docPr id="3" name="Рисунок 3" descr="Последовательное соединение с одной неисправной ячей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следовательное соединение с одной неисправной ячейкой"/>
                    <pic:cNvPicPr>
                      <a:picLocks noChangeAspect="1" noChangeArrowheads="1"/>
                    </pic:cNvPicPr>
                  </pic:nvPicPr>
                  <pic:blipFill>
                    <a:blip r:embed="rId7"/>
                    <a:srcRect/>
                    <a:stretch>
                      <a:fillRect/>
                    </a:stretch>
                  </pic:blipFill>
                  <pic:spPr bwMode="auto">
                    <a:xfrm>
                      <a:off x="0" y="0"/>
                      <a:ext cx="5429250" cy="1028700"/>
                    </a:xfrm>
                    <a:prstGeom prst="rect">
                      <a:avLst/>
                    </a:prstGeom>
                    <a:noFill/>
                    <a:ln w="9525">
                      <a:noFill/>
                      <a:miter lim="800000"/>
                      <a:headEnd/>
                      <a:tailEnd/>
                    </a:ln>
                  </pic:spPr>
                </pic:pic>
              </a:graphicData>
            </a:graphic>
          </wp:inline>
        </w:drawing>
      </w:r>
    </w:p>
    <w:p w:rsidR="006E59C4" w:rsidRPr="006E59C4" w:rsidRDefault="006E59C4" w:rsidP="006E59C4">
      <w:pPr>
        <w:spacing w:before="100" w:beforeAutospacing="1" w:after="100" w:afterAutospacing="1"/>
        <w:ind w:left="12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3:</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b/>
          <w:bCs/>
          <w:sz w:val="24"/>
          <w:szCs w:val="24"/>
          <w:lang w:val="ru-RU" w:eastAsia="ru-RU"/>
        </w:rPr>
        <w:t>Соединение с неисправной ячейкой.</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Неисправная ячейка 3 снижает напряжение и отключает оборудование преждевременно.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vertAlign w:val="superscript"/>
          <w:lang w:val="ru-RU" w:eastAsia="ru-RU"/>
        </w:rPr>
        <w:t xml:space="preserve">Предоставлено </w:t>
      </w:r>
      <w:proofErr w:type="spellStart"/>
      <w:r w:rsidRPr="006E59C4">
        <w:rPr>
          <w:rFonts w:ascii="Times New Roman" w:eastAsia="Times New Roman" w:hAnsi="Times New Roman" w:cs="Times New Roman"/>
          <w:sz w:val="24"/>
          <w:szCs w:val="24"/>
          <w:vertAlign w:val="superscript"/>
          <w:lang w:val="ru-RU" w:eastAsia="ru-RU"/>
        </w:rPr>
        <w:t>Cadex</w:t>
      </w:r>
      <w:proofErr w:type="spellEnd"/>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12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vertAlign w:val="superscript"/>
          <w:lang w:val="ru-RU" w:eastAsia="ru-RU"/>
        </w:rPr>
        <w:t xml:space="preserve">Батареи в беспилотных летательных аппаратах и </w:t>
      </w:r>
      <w:r w:rsidRPr="006E59C4">
        <w:rPr>
          <w:rFonts w:ascii="Cambria Math" w:eastAsia="Times New Roman" w:hAnsi="Cambria Math" w:cs="Cambria Math"/>
          <w:sz w:val="24"/>
          <w:szCs w:val="24"/>
          <w:vertAlign w:val="superscript"/>
          <w:lang w:val="ru-RU" w:eastAsia="ru-RU"/>
        </w:rPr>
        <w:t>​​</w:t>
      </w:r>
      <w:r w:rsidRPr="006E59C4">
        <w:rPr>
          <w:rFonts w:ascii="Times New Roman" w:eastAsia="Times New Roman" w:hAnsi="Times New Roman" w:cs="Times New Roman"/>
          <w:sz w:val="24"/>
          <w:szCs w:val="24"/>
          <w:vertAlign w:val="superscript"/>
          <w:lang w:val="ru-RU" w:eastAsia="ru-RU"/>
        </w:rPr>
        <w:t>пульте дистанционного управления для любителей, требующих высокой нагрузки, часто демонстрируют неожиданное падение напряжения, если одна ячейка в строке слаба.</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vertAlign w:val="superscript"/>
          <w:lang w:val="ru-RU" w:eastAsia="ru-RU"/>
        </w:rPr>
        <w:t>Нанесение максимальных токовых напряжений на хрупкие ячейки, что приводит к возможному сбою.</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vertAlign w:val="superscript"/>
          <w:lang w:val="ru-RU" w:eastAsia="ru-RU"/>
        </w:rPr>
        <w:t>Чтение напряжения после заряда не идентифицирует эту аномалию;</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vertAlign w:val="superscript"/>
          <w:lang w:val="ru-RU" w:eastAsia="ru-RU"/>
        </w:rPr>
        <w:t xml:space="preserve">проверка баланса ячейки или проверка емкости с помощью </w:t>
      </w:r>
      <w:r w:rsidRPr="006E59C4">
        <w:rPr>
          <w:rFonts w:ascii="Times New Roman" w:eastAsia="Times New Roman" w:hAnsi="Times New Roman" w:cs="Times New Roman"/>
          <w:color w:val="0000FF"/>
          <w:sz w:val="24"/>
          <w:szCs w:val="24"/>
          <w:u w:val="single"/>
          <w:vertAlign w:val="superscript"/>
          <w:lang w:val="ru-RU" w:eastAsia="ru-RU"/>
        </w:rPr>
        <w:t>анализатора батареи</w:t>
      </w:r>
      <w:proofErr w:type="gramStart"/>
      <w:r w:rsidRPr="006E59C4">
        <w:rPr>
          <w:rFonts w:ascii="Times New Roman" w:eastAsia="Times New Roman" w:hAnsi="Times New Roman" w:cs="Times New Roman"/>
          <w:sz w:val="24"/>
          <w:szCs w:val="24"/>
          <w:vertAlign w:val="superscript"/>
          <w:lang w:val="ru-RU" w:eastAsia="ru-RU"/>
        </w:rPr>
        <w:t xml:space="preserve"> .</w:t>
      </w:r>
      <w:proofErr w:type="gramEnd"/>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t xml:space="preserve">Параллельное подключение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Если требуются более высокие токи, и более крупные ячейки недоступны или не соответствуют конструктивному ограничению, одна или несколько ячеек могут быть подключены параллельно. Большинство химикатов аккумуляторов допускают параллельные конфигурации с небольшим побочным эффектом. На рисунке 4 показаны четыре ячейки, соединенные параллельно в устройстве P4. Номинальное напряжение показанного пакета остается на уровне 3,60</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но емкость (</w:t>
      </w:r>
      <w:proofErr w:type="spellStart"/>
      <w:r w:rsidRPr="006E59C4">
        <w:rPr>
          <w:rFonts w:ascii="Times New Roman" w:eastAsia="Times New Roman" w:hAnsi="Times New Roman" w:cs="Times New Roman"/>
          <w:sz w:val="24"/>
          <w:szCs w:val="24"/>
          <w:lang w:val="ru-RU" w:eastAsia="ru-RU"/>
        </w:rPr>
        <w:t>Ач</w:t>
      </w:r>
      <w:proofErr w:type="spellEnd"/>
      <w:r w:rsidRPr="006E59C4">
        <w:rPr>
          <w:rFonts w:ascii="Times New Roman" w:eastAsia="Times New Roman" w:hAnsi="Times New Roman" w:cs="Times New Roman"/>
          <w:sz w:val="24"/>
          <w:szCs w:val="24"/>
          <w:lang w:val="ru-RU" w:eastAsia="ru-RU"/>
        </w:rPr>
        <w:t xml:space="preserve">) и время работы увеличены в четыре раза. </w:t>
      </w:r>
    </w:p>
    <w:tbl>
      <w:tblPr>
        <w:tblW w:w="8550" w:type="dxa"/>
        <w:tblCellSpacing w:w="0" w:type="dxa"/>
        <w:tblCellMar>
          <w:left w:w="0" w:type="dxa"/>
          <w:right w:w="0" w:type="dxa"/>
        </w:tblCellMar>
        <w:tblLook w:val="04A0"/>
      </w:tblPr>
      <w:tblGrid>
        <w:gridCol w:w="8550"/>
      </w:tblGrid>
      <w:tr w:rsidR="006E59C4" w:rsidRPr="006E59C4" w:rsidTr="006E59C4">
        <w:trPr>
          <w:trHeight w:val="3240"/>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048000" cy="2609850"/>
                  <wp:effectExtent l="19050" t="0" r="0" b="0"/>
                  <wp:docPr id="4" name="Рисунок 4" descr="Параллельное соединение четыре яче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раллельное соединение четыре ячейки"/>
                          <pic:cNvPicPr>
                            <a:picLocks noChangeAspect="1" noChangeArrowheads="1"/>
                          </pic:cNvPicPr>
                        </pic:nvPicPr>
                        <pic:blipFill>
                          <a:blip r:embed="rId8"/>
                          <a:srcRect/>
                          <a:stretch>
                            <a:fillRect/>
                          </a:stretch>
                        </pic:blipFill>
                        <pic:spPr bwMode="auto">
                          <a:xfrm>
                            <a:off x="0" y="0"/>
                            <a:ext cx="3048000" cy="2609850"/>
                          </a:xfrm>
                          <a:prstGeom prst="rect">
                            <a:avLst/>
                          </a:prstGeom>
                          <a:noFill/>
                          <a:ln w="9525">
                            <a:noFill/>
                            <a:miter lim="800000"/>
                            <a:headEnd/>
                            <a:tailEnd/>
                          </a:ln>
                        </pic:spPr>
                      </pic:pic>
                    </a:graphicData>
                  </a:graphic>
                </wp:inline>
              </w:drawing>
            </w:r>
          </w:p>
        </w:tc>
      </w:tr>
      <w:tr w:rsidR="006E59C4" w:rsidRPr="006E59C4" w:rsidTr="006E59C4">
        <w:trPr>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4: Параллельное соединение четырех ячеек (4p).</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С параллельными ячейками емкость в </w:t>
            </w:r>
            <w:proofErr w:type="spellStart"/>
            <w:r w:rsidRPr="006E59C4">
              <w:rPr>
                <w:rFonts w:ascii="Times New Roman" w:eastAsia="Times New Roman" w:hAnsi="Times New Roman" w:cs="Times New Roman"/>
                <w:sz w:val="24"/>
                <w:szCs w:val="24"/>
                <w:lang w:val="ru-RU" w:eastAsia="ru-RU"/>
              </w:rPr>
              <w:t>Ah</w:t>
            </w:r>
            <w:proofErr w:type="spellEnd"/>
            <w:r w:rsidRPr="006E59C4">
              <w:rPr>
                <w:rFonts w:ascii="Times New Roman" w:eastAsia="Times New Roman" w:hAnsi="Times New Roman" w:cs="Times New Roman"/>
                <w:sz w:val="24"/>
                <w:szCs w:val="24"/>
                <w:lang w:val="ru-RU" w:eastAsia="ru-RU"/>
              </w:rPr>
              <w:t xml:space="preserve"> и время работы увеличивается, пока напряжение остается неизменным.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vertAlign w:val="superscript"/>
                <w:lang w:val="ru-RU" w:eastAsia="ru-RU"/>
              </w:rPr>
              <w:t xml:space="preserve">Предоставлено </w:t>
            </w:r>
            <w:proofErr w:type="spellStart"/>
            <w:r w:rsidRPr="006E59C4">
              <w:rPr>
                <w:rFonts w:ascii="Times New Roman" w:eastAsia="Times New Roman" w:hAnsi="Times New Roman" w:cs="Times New Roman"/>
                <w:sz w:val="24"/>
                <w:szCs w:val="24"/>
                <w:vertAlign w:val="superscript"/>
                <w:lang w:val="ru-RU" w:eastAsia="ru-RU"/>
              </w:rPr>
              <w:t>Cadex</w:t>
            </w:r>
            <w:proofErr w:type="spellEnd"/>
            <w:r w:rsidRPr="006E59C4">
              <w:rPr>
                <w:rFonts w:ascii="Times New Roman" w:eastAsia="Times New Roman" w:hAnsi="Times New Roman" w:cs="Times New Roman"/>
                <w:sz w:val="24"/>
                <w:szCs w:val="24"/>
                <w:lang w:val="ru-RU" w:eastAsia="ru-RU"/>
              </w:rPr>
              <w:t xml:space="preserve"> </w:t>
            </w:r>
          </w:p>
        </w:tc>
      </w:tr>
    </w:tbl>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br/>
        <w:t xml:space="preserve">Ячейка, которая развивает высокое сопротивление или открывает, менее критична в параллельной </w:t>
      </w:r>
      <w:r w:rsidRPr="006E59C4">
        <w:rPr>
          <w:rFonts w:ascii="Times New Roman" w:eastAsia="Times New Roman" w:hAnsi="Times New Roman" w:cs="Times New Roman"/>
          <w:sz w:val="24"/>
          <w:szCs w:val="24"/>
          <w:lang w:val="ru-RU" w:eastAsia="ru-RU"/>
        </w:rPr>
        <w:lastRenderedPageBreak/>
        <w:t xml:space="preserve">схеме, чем в последовательной конфигурации, но неисправная ячейка уменьшит общую нагрузку. Это похоже на двигатель, срабатывающий только на трех цилиндрах, а не на всех четырех. С другой стороны, электрический шок является более серьезным, поскольку неисправная ячейка истощает энергию из других ячеек, что вызывает пожарную опасность. Большинство так называемых электрических </w:t>
      </w:r>
      <w:r w:rsidR="004C01C6">
        <w:rPr>
          <w:rFonts w:ascii="Times New Roman" w:eastAsia="Times New Roman" w:hAnsi="Times New Roman" w:cs="Times New Roman"/>
          <w:sz w:val="24"/>
          <w:szCs w:val="24"/>
          <w:lang w:val="ru-RU" w:eastAsia="ru-RU"/>
        </w:rPr>
        <w:t>коротких замыканий</w:t>
      </w:r>
      <w:r w:rsidRPr="006E59C4">
        <w:rPr>
          <w:rFonts w:ascii="Times New Roman" w:eastAsia="Times New Roman" w:hAnsi="Times New Roman" w:cs="Times New Roman"/>
          <w:sz w:val="24"/>
          <w:szCs w:val="24"/>
          <w:lang w:val="ru-RU" w:eastAsia="ru-RU"/>
        </w:rPr>
        <w:t xml:space="preserve"> являются мягкими и проявляют себя как повышенный саморазряд.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Полное короткое замыкание может происходить за счет обратной поляризации или роста дендрита. Большие пакеты часто включают в себя предохранитель, который отключает неисправную ячейку от параллельной цепи, если она короткая. На рисунке 5 показана параллельная конфигурация с одной неисправной ячейкой. </w:t>
      </w:r>
    </w:p>
    <w:tbl>
      <w:tblPr>
        <w:tblW w:w="8550" w:type="dxa"/>
        <w:tblCellSpacing w:w="0" w:type="dxa"/>
        <w:tblCellMar>
          <w:left w:w="0" w:type="dxa"/>
          <w:right w:w="0" w:type="dxa"/>
        </w:tblCellMar>
        <w:tblLook w:val="04A0"/>
      </w:tblPr>
      <w:tblGrid>
        <w:gridCol w:w="8550"/>
      </w:tblGrid>
      <w:tr w:rsidR="006E59C4" w:rsidRPr="006E59C4" w:rsidTr="006E59C4">
        <w:trPr>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048000" cy="2609850"/>
                  <wp:effectExtent l="19050" t="0" r="0" b="0"/>
                  <wp:docPr id="5" name="Рисунок 5" descr="Параллельное соединение с одной неисправной ячей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араллельное соединение с одной неисправной ячейкой"/>
                          <pic:cNvPicPr>
                            <a:picLocks noChangeAspect="1" noChangeArrowheads="1"/>
                          </pic:cNvPicPr>
                        </pic:nvPicPr>
                        <pic:blipFill>
                          <a:blip r:embed="rId9"/>
                          <a:srcRect/>
                          <a:stretch>
                            <a:fillRect/>
                          </a:stretch>
                        </pic:blipFill>
                        <pic:spPr bwMode="auto">
                          <a:xfrm>
                            <a:off x="0" y="0"/>
                            <a:ext cx="3048000" cy="2609850"/>
                          </a:xfrm>
                          <a:prstGeom prst="rect">
                            <a:avLst/>
                          </a:prstGeom>
                          <a:noFill/>
                          <a:ln w="9525">
                            <a:noFill/>
                            <a:miter lim="800000"/>
                            <a:headEnd/>
                            <a:tailEnd/>
                          </a:ln>
                        </pic:spPr>
                      </pic:pic>
                    </a:graphicData>
                  </a:graphic>
                </wp:inline>
              </w:drawing>
            </w:r>
          </w:p>
        </w:tc>
      </w:tr>
      <w:tr w:rsidR="006E59C4" w:rsidRPr="006E59C4" w:rsidTr="006E59C4">
        <w:trPr>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5: Параллельное соединение с одной неисправной ячейкой.</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Слабая ячейка не повлияет на напряжение, но обеспечит низкое время работы из-за снижения мощности. Короткая ячейка может вызвать чрезмерное нагревание и стать пожарной. На больших пакетах предохранитель предотвращает большой ток, изолируя ячейку.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vertAlign w:val="superscript"/>
                <w:lang w:val="ru-RU" w:eastAsia="ru-RU"/>
              </w:rPr>
              <w:t xml:space="preserve">Предоставлено </w:t>
            </w:r>
            <w:proofErr w:type="spellStart"/>
            <w:r w:rsidRPr="006E59C4">
              <w:rPr>
                <w:rFonts w:ascii="Times New Roman" w:eastAsia="Times New Roman" w:hAnsi="Times New Roman" w:cs="Times New Roman"/>
                <w:sz w:val="24"/>
                <w:szCs w:val="24"/>
                <w:vertAlign w:val="superscript"/>
                <w:lang w:val="ru-RU" w:eastAsia="ru-RU"/>
              </w:rPr>
              <w:t>Cadex</w:t>
            </w:r>
            <w:proofErr w:type="spellEnd"/>
            <w:r w:rsidRPr="006E59C4">
              <w:rPr>
                <w:rFonts w:ascii="Times New Roman" w:eastAsia="Times New Roman" w:hAnsi="Times New Roman" w:cs="Times New Roman"/>
                <w:sz w:val="24"/>
                <w:szCs w:val="24"/>
                <w:lang w:val="ru-RU" w:eastAsia="ru-RU"/>
              </w:rPr>
              <w:t xml:space="preserve"> </w:t>
            </w:r>
          </w:p>
        </w:tc>
      </w:tr>
    </w:tbl>
    <w:p w:rsidR="006E59C4" w:rsidRPr="006E59C4" w:rsidRDefault="00C155AF"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Pr>
          <w:rFonts w:ascii="Times New Roman" w:eastAsia="Times New Roman" w:hAnsi="Times New Roman" w:cs="Times New Roman"/>
          <w:b/>
          <w:bCs/>
          <w:sz w:val="36"/>
          <w:szCs w:val="36"/>
          <w:lang w:val="ru-RU" w:eastAsia="ru-RU"/>
        </w:rPr>
        <w:br/>
        <w:t>Последовательное</w:t>
      </w:r>
      <w:r w:rsidR="006E59C4" w:rsidRPr="006E59C4">
        <w:rPr>
          <w:rFonts w:ascii="Times New Roman" w:eastAsia="Times New Roman" w:hAnsi="Times New Roman" w:cs="Times New Roman"/>
          <w:b/>
          <w:bCs/>
          <w:sz w:val="36"/>
          <w:szCs w:val="36"/>
          <w:lang w:val="ru-RU" w:eastAsia="ru-RU"/>
        </w:rPr>
        <w:t xml:space="preserve"> / параллельное соединение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Параллельная конфигурация, показанная на рисунке 6, обеспечивает гибкость конструкции и обеспечивает требуемые номинальные значения напряжения и тока со стандартным размером ячейки. Суммарная мощность является продуктом тока-тока; четыре 3,6</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(номинальные) ячейки, умноженные на 3,400 </w:t>
      </w:r>
      <w:proofErr w:type="spellStart"/>
      <w:r w:rsidRPr="006E59C4">
        <w:rPr>
          <w:rFonts w:ascii="Times New Roman" w:eastAsia="Times New Roman" w:hAnsi="Times New Roman" w:cs="Times New Roman"/>
          <w:sz w:val="24"/>
          <w:szCs w:val="24"/>
          <w:lang w:val="ru-RU" w:eastAsia="ru-RU"/>
        </w:rPr>
        <w:t>мАч</w:t>
      </w:r>
      <w:proofErr w:type="spellEnd"/>
      <w:r w:rsidRPr="006E59C4">
        <w:rPr>
          <w:rFonts w:ascii="Times New Roman" w:eastAsia="Times New Roman" w:hAnsi="Times New Roman" w:cs="Times New Roman"/>
          <w:sz w:val="24"/>
          <w:szCs w:val="24"/>
          <w:lang w:val="ru-RU" w:eastAsia="ru-RU"/>
        </w:rPr>
        <w:t xml:space="preserve">, производят 12,24 Вт-ч. Четыре 18650 </w:t>
      </w:r>
      <w:proofErr w:type="spellStart"/>
      <w:r w:rsidRPr="006E59C4">
        <w:rPr>
          <w:rFonts w:ascii="Times New Roman" w:eastAsia="Times New Roman" w:hAnsi="Times New Roman" w:cs="Times New Roman"/>
          <w:sz w:val="24"/>
          <w:szCs w:val="24"/>
          <w:lang w:val="ru-RU" w:eastAsia="ru-RU"/>
        </w:rPr>
        <w:t>энергоэлементов</w:t>
      </w:r>
      <w:proofErr w:type="spellEnd"/>
      <w:r w:rsidRPr="006E59C4">
        <w:rPr>
          <w:rFonts w:ascii="Times New Roman" w:eastAsia="Times New Roman" w:hAnsi="Times New Roman" w:cs="Times New Roman"/>
          <w:sz w:val="24"/>
          <w:szCs w:val="24"/>
          <w:lang w:val="ru-RU" w:eastAsia="ru-RU"/>
        </w:rPr>
        <w:t xml:space="preserve"> по 3400 </w:t>
      </w:r>
      <w:proofErr w:type="spellStart"/>
      <w:r w:rsidRPr="006E59C4">
        <w:rPr>
          <w:rFonts w:ascii="Times New Roman" w:eastAsia="Times New Roman" w:hAnsi="Times New Roman" w:cs="Times New Roman"/>
          <w:sz w:val="24"/>
          <w:szCs w:val="24"/>
          <w:lang w:val="ru-RU" w:eastAsia="ru-RU"/>
        </w:rPr>
        <w:t>мАч</w:t>
      </w:r>
      <w:proofErr w:type="spellEnd"/>
      <w:r w:rsidRPr="006E59C4">
        <w:rPr>
          <w:rFonts w:ascii="Times New Roman" w:eastAsia="Times New Roman" w:hAnsi="Times New Roman" w:cs="Times New Roman"/>
          <w:sz w:val="24"/>
          <w:szCs w:val="24"/>
          <w:lang w:val="ru-RU" w:eastAsia="ru-RU"/>
        </w:rPr>
        <w:t xml:space="preserve"> могут быть подключены последовательно и параллельно, как показано, чтобы получить номинальное напряжение 7,2</w:t>
      </w:r>
      <w:proofErr w:type="gramStart"/>
      <w:r w:rsidRPr="006E59C4">
        <w:rPr>
          <w:rFonts w:ascii="Times New Roman" w:eastAsia="Times New Roman" w:hAnsi="Times New Roman" w:cs="Times New Roman"/>
          <w:sz w:val="24"/>
          <w:szCs w:val="24"/>
          <w:lang w:val="ru-RU" w:eastAsia="ru-RU"/>
        </w:rPr>
        <w:t xml:space="preserve"> В</w:t>
      </w:r>
      <w:proofErr w:type="gramEnd"/>
      <w:r w:rsidRPr="006E59C4">
        <w:rPr>
          <w:rFonts w:ascii="Times New Roman" w:eastAsia="Times New Roman" w:hAnsi="Times New Roman" w:cs="Times New Roman"/>
          <w:sz w:val="24"/>
          <w:szCs w:val="24"/>
          <w:lang w:val="ru-RU" w:eastAsia="ru-RU"/>
        </w:rPr>
        <w:t xml:space="preserve"> и 12,24 Вт-ч. Тонкая ячейка обеспечивает гибкий дизайн упаковки, но необходима </w:t>
      </w:r>
      <w:r w:rsidRPr="006E59C4">
        <w:rPr>
          <w:rFonts w:ascii="Times New Roman" w:eastAsia="Times New Roman" w:hAnsi="Times New Roman" w:cs="Times New Roman"/>
          <w:color w:val="0000FF"/>
          <w:sz w:val="24"/>
          <w:szCs w:val="24"/>
          <w:u w:val="single"/>
          <w:lang w:val="ru-RU" w:eastAsia="ru-RU"/>
        </w:rPr>
        <w:t>схема защиты</w:t>
      </w:r>
      <w:proofErr w:type="gramStart"/>
      <w:r w:rsidRPr="006E59C4">
        <w:rPr>
          <w:rFonts w:ascii="Times New Roman" w:eastAsia="Times New Roman" w:hAnsi="Times New Roman" w:cs="Times New Roman"/>
          <w:sz w:val="24"/>
          <w:szCs w:val="24"/>
          <w:lang w:val="ru-RU" w:eastAsia="ru-RU"/>
        </w:rPr>
        <w:t xml:space="preserve"> .</w:t>
      </w:r>
      <w:proofErr w:type="gramEnd"/>
      <w:r w:rsidRPr="006E59C4">
        <w:rPr>
          <w:rFonts w:ascii="Times New Roman" w:eastAsia="Times New Roman" w:hAnsi="Times New Roman" w:cs="Times New Roman"/>
          <w:sz w:val="24"/>
          <w:szCs w:val="24"/>
          <w:lang w:val="ru-RU" w:eastAsia="ru-RU"/>
        </w:rPr>
        <w:t xml:space="preserve"> </w:t>
      </w:r>
    </w:p>
    <w:tbl>
      <w:tblPr>
        <w:tblW w:w="8550" w:type="dxa"/>
        <w:tblCellSpacing w:w="0" w:type="dxa"/>
        <w:tblCellMar>
          <w:left w:w="0" w:type="dxa"/>
          <w:right w:w="0" w:type="dxa"/>
        </w:tblCellMar>
        <w:tblLook w:val="04A0"/>
      </w:tblPr>
      <w:tblGrid>
        <w:gridCol w:w="8550"/>
      </w:tblGrid>
      <w:tr w:rsidR="006E59C4" w:rsidRPr="006E59C4" w:rsidTr="006E59C4">
        <w:trPr>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048000" cy="1466850"/>
                  <wp:effectExtent l="19050" t="0" r="0" b="0"/>
                  <wp:docPr id="6" name="Рисунок 6" descr="параллель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араллельный"/>
                          <pic:cNvPicPr>
                            <a:picLocks noChangeAspect="1" noChangeArrowheads="1"/>
                          </pic:cNvPicPr>
                        </pic:nvPicPr>
                        <pic:blipFill>
                          <a:blip r:embed="rId10"/>
                          <a:srcRect/>
                          <a:stretch>
                            <a:fillRect/>
                          </a:stretch>
                        </pic:blipFill>
                        <pic:spPr bwMode="auto">
                          <a:xfrm>
                            <a:off x="0" y="0"/>
                            <a:ext cx="3048000" cy="1466850"/>
                          </a:xfrm>
                          <a:prstGeom prst="rect">
                            <a:avLst/>
                          </a:prstGeom>
                          <a:noFill/>
                          <a:ln w="9525">
                            <a:noFill/>
                            <a:miter lim="800000"/>
                            <a:headEnd/>
                            <a:tailEnd/>
                          </a:ln>
                        </pic:spPr>
                      </pic:pic>
                    </a:graphicData>
                  </a:graphic>
                </wp:inline>
              </w:drawing>
            </w:r>
          </w:p>
        </w:tc>
      </w:tr>
      <w:tr w:rsidR="006E59C4" w:rsidRPr="006E59C4" w:rsidTr="006E59C4">
        <w:trPr>
          <w:tblCellSpacing w:w="0" w:type="dxa"/>
        </w:trPr>
        <w:tc>
          <w:tcPr>
            <w:tcW w:w="5250" w:type="dxa"/>
            <w:vAlign w:val="center"/>
            <w:hideMark/>
          </w:tcPr>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b/>
                <w:bCs/>
                <w:sz w:val="24"/>
                <w:szCs w:val="24"/>
                <w:lang w:val="ru-RU" w:eastAsia="ru-RU"/>
              </w:rPr>
              <w:t>Рисунок 6:</w:t>
            </w:r>
            <w:r w:rsidRPr="006E59C4">
              <w:rPr>
                <w:rFonts w:ascii="Times New Roman" w:eastAsia="Times New Roman" w:hAnsi="Times New Roman" w:cs="Times New Roman"/>
                <w:sz w:val="24"/>
                <w:szCs w:val="24"/>
                <w:lang w:val="ru-RU" w:eastAsia="ru-RU"/>
              </w:rPr>
              <w:t xml:space="preserve"> </w:t>
            </w:r>
            <w:proofErr w:type="spellStart"/>
            <w:r w:rsidRPr="006E59C4">
              <w:rPr>
                <w:rFonts w:ascii="Times New Roman" w:eastAsia="Times New Roman" w:hAnsi="Times New Roman" w:cs="Times New Roman"/>
                <w:b/>
                <w:bCs/>
                <w:sz w:val="24"/>
                <w:szCs w:val="24"/>
                <w:lang w:val="ru-RU" w:eastAsia="ru-RU"/>
              </w:rPr>
              <w:t>Sired</w:t>
            </w:r>
            <w:proofErr w:type="spellEnd"/>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b/>
                <w:bCs/>
                <w:sz w:val="24"/>
                <w:szCs w:val="24"/>
                <w:lang w:val="ru-RU" w:eastAsia="ru-RU"/>
              </w:rPr>
              <w:t>/ параллельное соединение четырех ячеек (2s2p).</w:t>
            </w:r>
            <w:r w:rsidRPr="006E59C4">
              <w:rPr>
                <w:rFonts w:ascii="Times New Roman" w:eastAsia="Times New Roman" w:hAnsi="Times New Roman" w:cs="Times New Roman"/>
                <w:sz w:val="24"/>
                <w:szCs w:val="24"/>
                <w:lang w:val="ru-RU" w:eastAsia="ru-RU"/>
              </w:rPr>
              <w:t xml:space="preserve"> </w:t>
            </w:r>
            <w:r w:rsidRPr="006E59C4">
              <w:rPr>
                <w:rFonts w:ascii="Times New Roman" w:eastAsia="Times New Roman" w:hAnsi="Times New Roman" w:cs="Times New Roman"/>
                <w:sz w:val="24"/>
                <w:szCs w:val="24"/>
                <w:lang w:val="ru-RU" w:eastAsia="ru-RU"/>
              </w:rPr>
              <w:br/>
              <w:t xml:space="preserve">Эта конфигурация обеспечивает максимальную гибкость дизайна. Параллельное использование ячеек помогает в управлении напряжением.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vertAlign w:val="superscript"/>
                <w:lang w:val="ru-RU" w:eastAsia="ru-RU"/>
              </w:rPr>
              <w:t xml:space="preserve">Предоставлено </w:t>
            </w:r>
            <w:proofErr w:type="spellStart"/>
            <w:r w:rsidRPr="006E59C4">
              <w:rPr>
                <w:rFonts w:ascii="Times New Roman" w:eastAsia="Times New Roman" w:hAnsi="Times New Roman" w:cs="Times New Roman"/>
                <w:sz w:val="24"/>
                <w:szCs w:val="24"/>
                <w:vertAlign w:val="superscript"/>
                <w:lang w:val="ru-RU" w:eastAsia="ru-RU"/>
              </w:rPr>
              <w:t>Cadex</w:t>
            </w:r>
            <w:proofErr w:type="spellEnd"/>
            <w:r w:rsidRPr="006E59C4">
              <w:rPr>
                <w:rFonts w:ascii="Times New Roman" w:eastAsia="Times New Roman" w:hAnsi="Times New Roman" w:cs="Times New Roman"/>
                <w:sz w:val="24"/>
                <w:szCs w:val="24"/>
                <w:lang w:val="ru-RU" w:eastAsia="ru-RU"/>
              </w:rPr>
              <w:t xml:space="preserve"> </w:t>
            </w:r>
          </w:p>
        </w:tc>
      </w:tr>
    </w:tbl>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lastRenderedPageBreak/>
        <w:br/>
        <w:t xml:space="preserve">Литий-ион хорошо подходит для последовательных / параллельных конфигураций, но клеткам нужен мониторинг, чтобы оставаться в пределах напряжения и тока. </w:t>
      </w:r>
      <w:r w:rsidRPr="00C00D71">
        <w:rPr>
          <w:rFonts w:ascii="Times New Roman" w:eastAsia="Times New Roman" w:hAnsi="Times New Roman" w:cs="Times New Roman"/>
          <w:sz w:val="24"/>
          <w:szCs w:val="24"/>
          <w:lang w:val="ru-RU" w:eastAsia="ru-RU"/>
        </w:rPr>
        <w:t>Интегральные схемы</w:t>
      </w:r>
      <w:r w:rsidRPr="006E59C4">
        <w:rPr>
          <w:rFonts w:ascii="Times New Roman" w:eastAsia="Times New Roman" w:hAnsi="Times New Roman" w:cs="Times New Roman"/>
          <w:sz w:val="24"/>
          <w:szCs w:val="24"/>
          <w:lang w:val="ru-RU" w:eastAsia="ru-RU"/>
        </w:rPr>
        <w:t xml:space="preserve"> (ИС) для различных комбинаций ячеек доступны для контроля до 13 </w:t>
      </w:r>
      <w:proofErr w:type="spellStart"/>
      <w:proofErr w:type="gramStart"/>
      <w:r w:rsidRPr="006E59C4">
        <w:rPr>
          <w:rFonts w:ascii="Times New Roman" w:eastAsia="Times New Roman" w:hAnsi="Times New Roman" w:cs="Times New Roman"/>
          <w:sz w:val="24"/>
          <w:szCs w:val="24"/>
          <w:lang w:val="ru-RU" w:eastAsia="ru-RU"/>
        </w:rPr>
        <w:t>литий-ионных</w:t>
      </w:r>
      <w:proofErr w:type="spellEnd"/>
      <w:proofErr w:type="gramEnd"/>
      <w:r w:rsidRPr="006E59C4">
        <w:rPr>
          <w:rFonts w:ascii="Times New Roman" w:eastAsia="Times New Roman" w:hAnsi="Times New Roman" w:cs="Times New Roman"/>
          <w:sz w:val="24"/>
          <w:szCs w:val="24"/>
          <w:lang w:val="ru-RU" w:eastAsia="ru-RU"/>
        </w:rPr>
        <w:t xml:space="preserve"> элементов. Большие пакеты нуждаются в специальных схемах, и это относится к батареям с электронным </w:t>
      </w:r>
      <w:proofErr w:type="spellStart"/>
      <w:r w:rsidRPr="006E59C4">
        <w:rPr>
          <w:rFonts w:ascii="Times New Roman" w:eastAsia="Times New Roman" w:hAnsi="Times New Roman" w:cs="Times New Roman"/>
          <w:sz w:val="24"/>
          <w:szCs w:val="24"/>
          <w:lang w:val="ru-RU" w:eastAsia="ru-RU"/>
        </w:rPr>
        <w:t>байком</w:t>
      </w:r>
      <w:proofErr w:type="spellEnd"/>
      <w:r w:rsidRPr="006E59C4">
        <w:rPr>
          <w:rFonts w:ascii="Times New Roman" w:eastAsia="Times New Roman" w:hAnsi="Times New Roman" w:cs="Times New Roman"/>
          <w:sz w:val="24"/>
          <w:szCs w:val="24"/>
          <w:lang w:val="ru-RU" w:eastAsia="ru-RU"/>
        </w:rPr>
        <w:t xml:space="preserve">, гибридным автомобилям и модели </w:t>
      </w:r>
      <w:proofErr w:type="spellStart"/>
      <w:r w:rsidRPr="006E59C4">
        <w:rPr>
          <w:rFonts w:ascii="Times New Roman" w:eastAsia="Times New Roman" w:hAnsi="Times New Roman" w:cs="Times New Roman"/>
          <w:sz w:val="24"/>
          <w:szCs w:val="24"/>
          <w:lang w:val="ru-RU" w:eastAsia="ru-RU"/>
        </w:rPr>
        <w:t>Tesla</w:t>
      </w:r>
      <w:proofErr w:type="spellEnd"/>
      <w:r w:rsidRPr="006E59C4">
        <w:rPr>
          <w:rFonts w:ascii="Times New Roman" w:eastAsia="Times New Roman" w:hAnsi="Times New Roman" w:cs="Times New Roman"/>
          <w:sz w:val="24"/>
          <w:szCs w:val="24"/>
          <w:lang w:val="ru-RU" w:eastAsia="ru-RU"/>
        </w:rPr>
        <w:t xml:space="preserve"> </w:t>
      </w:r>
      <w:proofErr w:type="spellStart"/>
      <w:r w:rsidRPr="006E59C4">
        <w:rPr>
          <w:rFonts w:ascii="Times New Roman" w:eastAsia="Times New Roman" w:hAnsi="Times New Roman" w:cs="Times New Roman"/>
          <w:sz w:val="24"/>
          <w:szCs w:val="24"/>
          <w:lang w:val="ru-RU" w:eastAsia="ru-RU"/>
        </w:rPr>
        <w:t>Model</w:t>
      </w:r>
      <w:proofErr w:type="spellEnd"/>
      <w:r w:rsidRPr="006E59C4">
        <w:rPr>
          <w:rFonts w:ascii="Times New Roman" w:eastAsia="Times New Roman" w:hAnsi="Times New Roman" w:cs="Times New Roman"/>
          <w:sz w:val="24"/>
          <w:szCs w:val="24"/>
          <w:lang w:val="ru-RU" w:eastAsia="ru-RU"/>
        </w:rPr>
        <w:t xml:space="preserve"> 85, которые пожирают более 7000 18650 ячеек, чтобы составить пакет 90 кВт.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t xml:space="preserve">Терминология для описания серии и параллельного соединения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В индустрии аккумуляторов сначала указывается количество </w:t>
      </w:r>
      <w:r w:rsidR="00C00D71">
        <w:rPr>
          <w:rFonts w:ascii="Times New Roman" w:eastAsia="Times New Roman" w:hAnsi="Times New Roman" w:cs="Times New Roman"/>
          <w:sz w:val="24"/>
          <w:szCs w:val="24"/>
          <w:lang w:val="ru-RU" w:eastAsia="ru-RU"/>
        </w:rPr>
        <w:t>последовательных ячеек</w:t>
      </w:r>
      <w:r w:rsidRPr="006E59C4">
        <w:rPr>
          <w:rFonts w:ascii="Times New Roman" w:eastAsia="Times New Roman" w:hAnsi="Times New Roman" w:cs="Times New Roman"/>
          <w:sz w:val="24"/>
          <w:szCs w:val="24"/>
          <w:lang w:val="ru-RU" w:eastAsia="ru-RU"/>
        </w:rPr>
        <w:t xml:space="preserve">, а затем ячейки, расположенные параллельно. Пример: 2s2p. С </w:t>
      </w:r>
      <w:proofErr w:type="spellStart"/>
      <w:r w:rsidRPr="006E59C4">
        <w:rPr>
          <w:rFonts w:ascii="Times New Roman" w:eastAsia="Times New Roman" w:hAnsi="Times New Roman" w:cs="Times New Roman"/>
          <w:sz w:val="24"/>
          <w:szCs w:val="24"/>
          <w:lang w:val="ru-RU" w:eastAsia="ru-RU"/>
        </w:rPr>
        <w:t>Li-ion</w:t>
      </w:r>
      <w:proofErr w:type="spellEnd"/>
      <w:r w:rsidRPr="006E59C4">
        <w:rPr>
          <w:rFonts w:ascii="Times New Roman" w:eastAsia="Times New Roman" w:hAnsi="Times New Roman" w:cs="Times New Roman"/>
          <w:sz w:val="24"/>
          <w:szCs w:val="24"/>
          <w:lang w:val="ru-RU" w:eastAsia="ru-RU"/>
        </w:rPr>
        <w:t xml:space="preserve"> параллельные </w:t>
      </w:r>
      <w:r w:rsidR="00C00D71">
        <w:rPr>
          <w:rFonts w:ascii="Times New Roman" w:eastAsia="Times New Roman" w:hAnsi="Times New Roman" w:cs="Times New Roman"/>
          <w:sz w:val="24"/>
          <w:szCs w:val="24"/>
          <w:lang w:val="ru-RU" w:eastAsia="ru-RU"/>
        </w:rPr>
        <w:t xml:space="preserve">ячейки </w:t>
      </w:r>
      <w:r w:rsidRPr="006E59C4">
        <w:rPr>
          <w:rFonts w:ascii="Times New Roman" w:eastAsia="Times New Roman" w:hAnsi="Times New Roman" w:cs="Times New Roman"/>
          <w:sz w:val="24"/>
          <w:szCs w:val="24"/>
          <w:lang w:val="ru-RU" w:eastAsia="ru-RU"/>
        </w:rPr>
        <w:t xml:space="preserve">всегда делаются первыми; завершенные параллельные блоки затем помещаются последовательно. </w:t>
      </w:r>
      <w:proofErr w:type="spellStart"/>
      <w:r w:rsidRPr="006E59C4">
        <w:rPr>
          <w:rFonts w:ascii="Times New Roman" w:eastAsia="Times New Roman" w:hAnsi="Times New Roman" w:cs="Times New Roman"/>
          <w:sz w:val="24"/>
          <w:szCs w:val="24"/>
          <w:lang w:val="ru-RU" w:eastAsia="ru-RU"/>
        </w:rPr>
        <w:t>Li-ion</w:t>
      </w:r>
      <w:proofErr w:type="spellEnd"/>
      <w:r w:rsidRPr="006E59C4">
        <w:rPr>
          <w:rFonts w:ascii="Times New Roman" w:eastAsia="Times New Roman" w:hAnsi="Times New Roman" w:cs="Times New Roman"/>
          <w:sz w:val="24"/>
          <w:szCs w:val="24"/>
          <w:lang w:val="ru-RU" w:eastAsia="ru-RU"/>
        </w:rPr>
        <w:t xml:space="preserve"> - это система на основе напряжения, которая хорошо подходит для параллельного образования. Объединение нескольких ячеек в параллель, а затем добавление единиц последовательно уменьшает сложность с точки зрения контроля напряжения для </w:t>
      </w:r>
      <w:r w:rsidRPr="00C00D71">
        <w:rPr>
          <w:rFonts w:ascii="Times New Roman" w:eastAsia="Times New Roman" w:hAnsi="Times New Roman" w:cs="Times New Roman"/>
          <w:sz w:val="24"/>
          <w:szCs w:val="24"/>
          <w:lang w:val="ru-RU" w:eastAsia="ru-RU"/>
        </w:rPr>
        <w:t>защиты пакетов</w:t>
      </w:r>
      <w:proofErr w:type="gramStart"/>
      <w:r w:rsidRPr="006E59C4">
        <w:rPr>
          <w:rFonts w:ascii="Times New Roman" w:eastAsia="Times New Roman" w:hAnsi="Times New Roman" w:cs="Times New Roman"/>
          <w:sz w:val="24"/>
          <w:szCs w:val="24"/>
          <w:lang w:val="ru-RU" w:eastAsia="ru-RU"/>
        </w:rPr>
        <w:t xml:space="preserve"> .</w:t>
      </w:r>
      <w:proofErr w:type="gramEnd"/>
      <w:r w:rsidRPr="006E59C4">
        <w:rPr>
          <w:rFonts w:ascii="Times New Roman" w:eastAsia="Times New Roman" w:hAnsi="Times New Roman" w:cs="Times New Roman"/>
          <w:sz w:val="24"/>
          <w:szCs w:val="24"/>
          <w:lang w:val="ru-RU" w:eastAsia="ru-RU"/>
        </w:rPr>
        <w:t xml:space="preserve">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Сначала стройте ряд последовательностей строк, а </w:t>
      </w:r>
      <w:proofErr w:type="gramStart"/>
      <w:r w:rsidRPr="006E59C4">
        <w:rPr>
          <w:rFonts w:ascii="Times New Roman" w:eastAsia="Times New Roman" w:hAnsi="Times New Roman" w:cs="Times New Roman"/>
          <w:sz w:val="24"/>
          <w:szCs w:val="24"/>
          <w:lang w:val="ru-RU" w:eastAsia="ru-RU"/>
        </w:rPr>
        <w:t>затем</w:t>
      </w:r>
      <w:proofErr w:type="gramEnd"/>
      <w:r w:rsidRPr="006E59C4">
        <w:rPr>
          <w:rFonts w:ascii="Times New Roman" w:eastAsia="Times New Roman" w:hAnsi="Times New Roman" w:cs="Times New Roman"/>
          <w:sz w:val="24"/>
          <w:szCs w:val="24"/>
          <w:lang w:val="ru-RU" w:eastAsia="ru-RU"/>
        </w:rPr>
        <w:t xml:space="preserve"> размещая их параллельно, с NiCd-пакетами, чтобы удовлетворить химический механизм челночного механизма, который уравновешивает заряд в верхней части заряда. «2s2p» является обычным явлением; выпущены белые документы, которые относятся к 2p2s, когда последовательная строка параллельна.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br/>
        <w:t xml:space="preserve">Защитные устройства серии и параллельного соединения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Позитивные переключатели температурного коэффициента (PTC) и устройства прерывания заряда (CID) защищают аккумулятор от перегрузки по току и избыточного давления. Несмотря на то, что эти защитные устройства рекомендуются для обеспечения безопасности в более мелкой 2- или 3-ячеистой упаковке с последовательной и параллельной конфигурацией, эти устройства защиты часто пропускаются в больших многоэлементных батареях, например, для электроинструмента. PTC и CID работают, как ожидается, для переключения ячейки при избыточном токе и внутреннем давлении ячейки; однако выключение происходит в каскадном формате. В то время как некоторые ячейки могут выйти в автономный режим, ток нагрузки вызывает избыточный ток на оставшихся ячейках. Такое состояние перегрузки может привести к термическому разбегу перед тем, как остальные защитные устройства активизируются. </w:t>
      </w:r>
      <w:r w:rsidRPr="006E59C4">
        <w:rPr>
          <w:rFonts w:ascii="Times New Roman" w:eastAsia="Times New Roman" w:hAnsi="Times New Roman" w:cs="Times New Roman"/>
          <w:sz w:val="24"/>
          <w:szCs w:val="24"/>
          <w:lang w:val="ru-RU" w:eastAsia="ru-RU"/>
        </w:rPr>
        <w:br/>
      </w:r>
      <w:r w:rsidRPr="006E59C4">
        <w:rPr>
          <w:rFonts w:ascii="Times New Roman" w:eastAsia="Times New Roman" w:hAnsi="Times New Roman" w:cs="Times New Roman"/>
          <w:sz w:val="24"/>
          <w:szCs w:val="24"/>
          <w:lang w:val="ru-RU" w:eastAsia="ru-RU"/>
        </w:rPr>
        <w:br/>
        <w:t xml:space="preserve">Некоторые ячейки имеют </w:t>
      </w:r>
      <w:proofErr w:type="gramStart"/>
      <w:r w:rsidRPr="006E59C4">
        <w:rPr>
          <w:rFonts w:ascii="Times New Roman" w:eastAsia="Times New Roman" w:hAnsi="Times New Roman" w:cs="Times New Roman"/>
          <w:sz w:val="24"/>
          <w:szCs w:val="24"/>
          <w:lang w:val="ru-RU" w:eastAsia="ru-RU"/>
        </w:rPr>
        <w:t>встроенный</w:t>
      </w:r>
      <w:proofErr w:type="gramEnd"/>
      <w:r w:rsidRPr="006E59C4">
        <w:rPr>
          <w:rFonts w:ascii="Times New Roman" w:eastAsia="Times New Roman" w:hAnsi="Times New Roman" w:cs="Times New Roman"/>
          <w:sz w:val="24"/>
          <w:szCs w:val="24"/>
          <w:lang w:val="ru-RU" w:eastAsia="ru-RU"/>
        </w:rPr>
        <w:t xml:space="preserve"> PCT и CID; эти защитные устройства также могут быть добавлены </w:t>
      </w:r>
      <w:proofErr w:type="spellStart"/>
      <w:r w:rsidRPr="006E59C4">
        <w:rPr>
          <w:rFonts w:ascii="Times New Roman" w:eastAsia="Times New Roman" w:hAnsi="Times New Roman" w:cs="Times New Roman"/>
          <w:sz w:val="24"/>
          <w:szCs w:val="24"/>
          <w:lang w:val="ru-RU" w:eastAsia="ru-RU"/>
        </w:rPr>
        <w:t>ретроактивно</w:t>
      </w:r>
      <w:proofErr w:type="spellEnd"/>
      <w:r w:rsidRPr="006E59C4">
        <w:rPr>
          <w:rFonts w:ascii="Times New Roman" w:eastAsia="Times New Roman" w:hAnsi="Times New Roman" w:cs="Times New Roman"/>
          <w:sz w:val="24"/>
          <w:szCs w:val="24"/>
          <w:lang w:val="ru-RU" w:eastAsia="ru-RU"/>
        </w:rPr>
        <w:t xml:space="preserve">. Инженер-проектировщик должен знать, что любое защитное устройство может быть повреждено. Кроме того, PTC вызывает небольшое внутреннее сопротивление, которое уменьшает ток нагрузки.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br/>
        <w:t xml:space="preserve">Простые рекомендации по использованию бытовых первичных батарей </w:t>
      </w:r>
    </w:p>
    <w:p w:rsidR="006E59C4" w:rsidRPr="006E59C4"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Держите контакты аккумулятора в чистоте. Конфигурация с четырьмя ячейками имеет восемь контактов, и каждый контакт добавляет сопротивление (ячейка к держателю и держателю к следующей ячейке). </w:t>
      </w:r>
    </w:p>
    <w:p w:rsidR="006E59C4" w:rsidRPr="006E59C4"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Никогда не смешивайте батареи; замените все ячейки при </w:t>
      </w:r>
      <w:proofErr w:type="gramStart"/>
      <w:r w:rsidRPr="006E59C4">
        <w:rPr>
          <w:rFonts w:ascii="Times New Roman" w:eastAsia="Times New Roman" w:hAnsi="Times New Roman" w:cs="Times New Roman"/>
          <w:sz w:val="24"/>
          <w:szCs w:val="24"/>
          <w:lang w:val="ru-RU" w:eastAsia="ru-RU"/>
        </w:rPr>
        <w:t>слабом</w:t>
      </w:r>
      <w:proofErr w:type="gramEnd"/>
      <w:r w:rsidRPr="006E59C4">
        <w:rPr>
          <w:rFonts w:ascii="Times New Roman" w:eastAsia="Times New Roman" w:hAnsi="Times New Roman" w:cs="Times New Roman"/>
          <w:sz w:val="24"/>
          <w:szCs w:val="24"/>
          <w:lang w:val="ru-RU" w:eastAsia="ru-RU"/>
        </w:rPr>
        <w:t xml:space="preserve">. Общая производительность не хуже, чем самое слабое звено в цепочке. </w:t>
      </w:r>
    </w:p>
    <w:p w:rsidR="006E59C4" w:rsidRPr="006E59C4"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Соблюдайте полярность. Обратная ячейка вычитает, а не добавляет к напряжению ячейки. </w:t>
      </w:r>
    </w:p>
    <w:p w:rsidR="006E59C4" w:rsidRPr="006E59C4"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Удаляйте батареи из оборудования, когда они больше не используются, чтобы предотвратить утечку и коррозию. Это особенно важно для первичных </w:t>
      </w:r>
      <w:proofErr w:type="spellStart"/>
      <w:proofErr w:type="gramStart"/>
      <w:r w:rsidRPr="006E59C4">
        <w:rPr>
          <w:rFonts w:ascii="Times New Roman" w:eastAsia="Times New Roman" w:hAnsi="Times New Roman" w:cs="Times New Roman"/>
          <w:sz w:val="24"/>
          <w:szCs w:val="24"/>
          <w:lang w:val="ru-RU" w:eastAsia="ru-RU"/>
        </w:rPr>
        <w:t>цинк-углеродных</w:t>
      </w:r>
      <w:proofErr w:type="spellEnd"/>
      <w:proofErr w:type="gramEnd"/>
      <w:r w:rsidRPr="006E59C4">
        <w:rPr>
          <w:rFonts w:ascii="Times New Roman" w:eastAsia="Times New Roman" w:hAnsi="Times New Roman" w:cs="Times New Roman"/>
          <w:sz w:val="24"/>
          <w:szCs w:val="24"/>
          <w:lang w:val="ru-RU" w:eastAsia="ru-RU"/>
        </w:rPr>
        <w:t xml:space="preserve"> первичных клеток. </w:t>
      </w:r>
    </w:p>
    <w:p w:rsidR="006E59C4" w:rsidRPr="006E59C4"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Не храните свободные ячейки в металлической коробке. Поместите отдельные ячейки в маленькие пластиковые пакеты, чтобы предотвратить короткое замыкание. Не кладите в карманы свободные клетки. </w:t>
      </w:r>
    </w:p>
    <w:p w:rsidR="00C00D71"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00D71">
        <w:rPr>
          <w:rFonts w:ascii="Times New Roman" w:eastAsia="Times New Roman" w:hAnsi="Times New Roman" w:cs="Times New Roman"/>
          <w:sz w:val="24"/>
          <w:szCs w:val="24"/>
          <w:lang w:val="ru-RU" w:eastAsia="ru-RU"/>
        </w:rPr>
        <w:lastRenderedPageBreak/>
        <w:t xml:space="preserve">Храните батареи вдали от маленьких детей. В дополнение к опасности удушья ток в потоке батареи может привести к изъязвлению стенки желудка при проглатывании. Батарея может также разорвать и вызвать отравление. </w:t>
      </w:r>
    </w:p>
    <w:p w:rsidR="006E59C4" w:rsidRPr="00C00D71" w:rsidRDefault="006E59C4" w:rsidP="006E59C4">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00D71">
        <w:rPr>
          <w:rFonts w:ascii="Times New Roman" w:eastAsia="Times New Roman" w:hAnsi="Times New Roman" w:cs="Times New Roman"/>
          <w:sz w:val="24"/>
          <w:szCs w:val="24"/>
          <w:lang w:val="ru-RU" w:eastAsia="ru-RU"/>
        </w:rPr>
        <w:t xml:space="preserve">Не перезаряжайте </w:t>
      </w:r>
      <w:proofErr w:type="spellStart"/>
      <w:r w:rsidRPr="00C00D71">
        <w:rPr>
          <w:rFonts w:ascii="Times New Roman" w:eastAsia="Times New Roman" w:hAnsi="Times New Roman" w:cs="Times New Roman"/>
          <w:sz w:val="24"/>
          <w:szCs w:val="24"/>
          <w:lang w:val="ru-RU" w:eastAsia="ru-RU"/>
        </w:rPr>
        <w:t>неперезаряжаемые</w:t>
      </w:r>
      <w:proofErr w:type="spellEnd"/>
      <w:r w:rsidRPr="00C00D71">
        <w:rPr>
          <w:rFonts w:ascii="Times New Roman" w:eastAsia="Times New Roman" w:hAnsi="Times New Roman" w:cs="Times New Roman"/>
          <w:sz w:val="24"/>
          <w:szCs w:val="24"/>
          <w:lang w:val="ru-RU" w:eastAsia="ru-RU"/>
        </w:rPr>
        <w:t xml:space="preserve"> батареи; накопление водорода может привести к взрыву. Выполнять экспериментальную зарядку только под наблюдением. </w:t>
      </w:r>
    </w:p>
    <w:p w:rsidR="006E59C4" w:rsidRPr="006E59C4" w:rsidRDefault="006E59C4" w:rsidP="006E59C4">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6E59C4">
        <w:rPr>
          <w:rFonts w:ascii="Times New Roman" w:eastAsia="Times New Roman" w:hAnsi="Times New Roman" w:cs="Times New Roman"/>
          <w:b/>
          <w:bCs/>
          <w:sz w:val="36"/>
          <w:szCs w:val="36"/>
          <w:lang w:val="ru-RU" w:eastAsia="ru-RU"/>
        </w:rPr>
        <w:br/>
        <w:t xml:space="preserve">Простые рекомендации по использованию вторичных батарей </w:t>
      </w:r>
    </w:p>
    <w:p w:rsidR="006E59C4" w:rsidRPr="006E59C4" w:rsidRDefault="006E59C4" w:rsidP="006E59C4">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Соблюдайте полярность при зарядке вторичной ячейки. Перевернутая полярность может привести к короткому замыканию электричества, что приведет к опасному состоянию. </w:t>
      </w:r>
    </w:p>
    <w:p w:rsidR="006E59C4" w:rsidRPr="006E59C4" w:rsidRDefault="006E59C4" w:rsidP="006E59C4">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Извлеките полностью заряженные батареи из зарядного устройства. Потребительское зарядное устройство может не применять правильную зарядку под струей при полной зарядке, и ячейка может перегреться. </w:t>
      </w:r>
    </w:p>
    <w:p w:rsidR="006E59C4" w:rsidRPr="006E59C4" w:rsidRDefault="006E59C4" w:rsidP="006E59C4">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 xml:space="preserve">Заряжайте только при комнатной температуре. </w:t>
      </w:r>
    </w:p>
    <w:p w:rsidR="006E59C4" w:rsidRPr="006E59C4" w:rsidRDefault="006E59C4" w:rsidP="006E59C4">
      <w:pPr>
        <w:spacing w:before="100" w:beforeAutospacing="1" w:after="100" w:afterAutospacing="1"/>
        <w:ind w:left="0" w:firstLine="0"/>
        <w:rPr>
          <w:rFonts w:ascii="Times New Roman" w:eastAsia="Times New Roman" w:hAnsi="Times New Roman" w:cs="Times New Roman"/>
          <w:sz w:val="24"/>
          <w:szCs w:val="24"/>
          <w:lang w:val="ru-RU" w:eastAsia="ru-RU"/>
        </w:rPr>
      </w:pPr>
      <w:r w:rsidRPr="006E59C4">
        <w:rPr>
          <w:rFonts w:ascii="Times New Roman" w:eastAsia="Times New Roman" w:hAnsi="Times New Roman" w:cs="Times New Roman"/>
          <w:sz w:val="24"/>
          <w:szCs w:val="24"/>
          <w:lang w:val="ru-RU" w:eastAsia="ru-RU"/>
        </w:rPr>
        <w:t>Последнее обновление: 2017-07-31</w:t>
      </w:r>
    </w:p>
    <w:p w:rsidR="00674831" w:rsidRDefault="00E9503B">
      <w:pPr>
        <w:rPr>
          <w:lang w:val="ru-RU"/>
        </w:rPr>
      </w:pPr>
    </w:p>
    <w:p w:rsidR="00E9503B" w:rsidRPr="00E9503B" w:rsidRDefault="00E9503B" w:rsidP="00E9503B">
      <w:pPr>
        <w:pStyle w:val="1"/>
        <w:rPr>
          <w:lang w:val="en-US"/>
        </w:rPr>
      </w:pPr>
      <w:r w:rsidRPr="00E9503B">
        <w:rPr>
          <w:lang w:val="en-US"/>
        </w:rPr>
        <w:t>Series and Parallel Battery Configurations</w:t>
      </w:r>
    </w:p>
    <w:p w:rsidR="00E9503B" w:rsidRPr="00E9503B" w:rsidRDefault="00E9503B" w:rsidP="00E9503B">
      <w:pPr>
        <w:pStyle w:val="a3"/>
        <w:rPr>
          <w:lang w:val="en-US"/>
        </w:rPr>
      </w:pPr>
      <w:r w:rsidRPr="00E9503B">
        <w:rPr>
          <w:rStyle w:val="a5"/>
          <w:lang w:val="en-US"/>
        </w:rPr>
        <w:t>Learn how to arrange batteries to increase voltage or gain higher capacity.</w:t>
      </w:r>
      <w:r w:rsidRPr="00E9503B">
        <w:rPr>
          <w:lang w:val="en-US"/>
        </w:rPr>
        <w:br/>
      </w:r>
      <w:r w:rsidRPr="00E9503B">
        <w:rPr>
          <w:lang w:val="en-US"/>
        </w:rPr>
        <w:br/>
        <w:t>Batteries achieve the desired operating voltage by connecting several cells in series; each cell adds its voltage potential to derive at the total terminal voltage. Parallel connection attains higher capacity by adding up the total ampere-hour (Ah).</w:t>
      </w:r>
      <w:r w:rsidRPr="00E9503B">
        <w:rPr>
          <w:lang w:val="en-US"/>
        </w:rPr>
        <w:br/>
      </w:r>
      <w:r w:rsidRPr="00E9503B">
        <w:rPr>
          <w:lang w:val="en-US"/>
        </w:rPr>
        <w:br/>
        <w:t>Some packs may consist of a combination of series and parallel connections. Laptop batteries commonly have four 3.6V Li-ion cells in series to achieve a nominal voltage 14.4V and two in parallel to boost the capacity from 2,400mAh to 4,800mAh. Such a configuration is called 4s2p, meaning four cells in series and two in parallel. Insulating foil between the cells prevents the conductive metallic skin from causing an electrical short.</w:t>
      </w:r>
      <w:r w:rsidRPr="00E9503B">
        <w:rPr>
          <w:lang w:val="en-US"/>
        </w:rPr>
        <w:br/>
      </w:r>
      <w:r w:rsidRPr="00E9503B">
        <w:rPr>
          <w:lang w:val="en-US"/>
        </w:rPr>
        <w:br/>
        <w:t>Most battery chemistries lend themselves to series and parallel connection. It is important to use the same battery type with equal voltage and capacity (Ah) and never to mix different makes and sizes. A weaker cell would cause an imbalance. This is especially critical in a series configuration because a battery is only as strong as the weakest link in the chain. An analogy is a chain in which the links represent the cells of a battery connected in series (Figure 1).</w:t>
      </w:r>
    </w:p>
    <w:tbl>
      <w:tblPr>
        <w:tblW w:w="8550" w:type="dxa"/>
        <w:tblCellSpacing w:w="0" w:type="dxa"/>
        <w:tblCellMar>
          <w:top w:w="150" w:type="dxa"/>
          <w:left w:w="150" w:type="dxa"/>
          <w:bottom w:w="150" w:type="dxa"/>
          <w:right w:w="150" w:type="dxa"/>
        </w:tblCellMar>
        <w:tblLook w:val="04A0"/>
      </w:tblPr>
      <w:tblGrid>
        <w:gridCol w:w="4751"/>
        <w:gridCol w:w="3799"/>
      </w:tblGrid>
      <w:tr w:rsidR="00E9503B" w:rsidTr="00E9503B">
        <w:trPr>
          <w:tblCellSpacing w:w="0" w:type="dxa"/>
        </w:trPr>
        <w:tc>
          <w:tcPr>
            <w:tcW w:w="0" w:type="auto"/>
            <w:vAlign w:val="center"/>
            <w:hideMark/>
          </w:tcPr>
          <w:p w:rsidR="00E9503B" w:rsidRDefault="00E9503B">
            <w:pPr>
              <w:rPr>
                <w:sz w:val="24"/>
                <w:szCs w:val="24"/>
              </w:rPr>
            </w:pPr>
            <w:r>
              <w:rPr>
                <w:noProof/>
                <w:lang w:val="ru-RU" w:eastAsia="ru-RU"/>
              </w:rPr>
              <w:drawing>
                <wp:inline distT="0" distB="0" distL="0" distR="0">
                  <wp:extent cx="2257425" cy="581025"/>
                  <wp:effectExtent l="19050" t="0" r="9525" b="0"/>
                  <wp:docPr id="12" name="Рисунок 1" descr="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in"/>
                          <pic:cNvPicPr>
                            <a:picLocks noChangeAspect="1" noChangeArrowheads="1"/>
                          </pic:cNvPicPr>
                        </pic:nvPicPr>
                        <pic:blipFill>
                          <a:blip r:embed="rId5"/>
                          <a:srcRect/>
                          <a:stretch>
                            <a:fillRect/>
                          </a:stretch>
                        </pic:blipFill>
                        <pic:spPr bwMode="auto">
                          <a:xfrm>
                            <a:off x="0" y="0"/>
                            <a:ext cx="2257425" cy="581025"/>
                          </a:xfrm>
                          <a:prstGeom prst="rect">
                            <a:avLst/>
                          </a:prstGeom>
                          <a:noFill/>
                          <a:ln w="9525">
                            <a:noFill/>
                            <a:miter lim="800000"/>
                            <a:headEnd/>
                            <a:tailEnd/>
                          </a:ln>
                        </pic:spPr>
                      </pic:pic>
                    </a:graphicData>
                  </a:graphic>
                </wp:inline>
              </w:drawing>
            </w:r>
          </w:p>
        </w:tc>
        <w:tc>
          <w:tcPr>
            <w:tcW w:w="0" w:type="auto"/>
            <w:vAlign w:val="center"/>
            <w:hideMark/>
          </w:tcPr>
          <w:p w:rsidR="00E9503B" w:rsidRDefault="00E9503B">
            <w:pPr>
              <w:rPr>
                <w:sz w:val="24"/>
                <w:szCs w:val="24"/>
              </w:rPr>
            </w:pPr>
            <w:proofErr w:type="spellStart"/>
            <w:r>
              <w:rPr>
                <w:rStyle w:val="a5"/>
              </w:rPr>
              <w:t>Figure</w:t>
            </w:r>
            <w:proofErr w:type="spellEnd"/>
            <w:r>
              <w:rPr>
                <w:rStyle w:val="a5"/>
              </w:rPr>
              <w:t xml:space="preserve"> 1: </w:t>
            </w:r>
            <w:proofErr w:type="spellStart"/>
            <w:r>
              <w:rPr>
                <w:rStyle w:val="a5"/>
              </w:rPr>
              <w:t>Comparing</w:t>
            </w:r>
            <w:proofErr w:type="spellEnd"/>
            <w:r>
              <w:rPr>
                <w:rStyle w:val="a5"/>
              </w:rPr>
              <w:t xml:space="preserve"> a </w:t>
            </w:r>
            <w:proofErr w:type="spellStart"/>
            <w:r>
              <w:rPr>
                <w:rStyle w:val="a5"/>
              </w:rPr>
              <w:t>battery</w:t>
            </w:r>
            <w:proofErr w:type="spellEnd"/>
            <w:r>
              <w:rPr>
                <w:rStyle w:val="a5"/>
              </w:rPr>
              <w:t xml:space="preserve"> </w:t>
            </w:r>
            <w:proofErr w:type="spellStart"/>
            <w:r>
              <w:rPr>
                <w:rStyle w:val="a5"/>
              </w:rPr>
              <w:t>with</w:t>
            </w:r>
            <w:proofErr w:type="spellEnd"/>
            <w:r>
              <w:rPr>
                <w:rStyle w:val="a5"/>
              </w:rPr>
              <w:t xml:space="preserve"> a </w:t>
            </w:r>
            <w:proofErr w:type="spellStart"/>
            <w:r>
              <w:rPr>
                <w:rStyle w:val="a5"/>
              </w:rPr>
              <w:t>chain</w:t>
            </w:r>
            <w:proofErr w:type="spellEnd"/>
            <w:r>
              <w:rPr>
                <w:rStyle w:val="a5"/>
              </w:rPr>
              <w:t>.</w:t>
            </w:r>
            <w:r>
              <w:br/>
            </w:r>
            <w:proofErr w:type="spellStart"/>
            <w:r>
              <w:t>Chain</w:t>
            </w:r>
            <w:proofErr w:type="spellEnd"/>
            <w:r>
              <w:t xml:space="preserve"> </w:t>
            </w:r>
            <w:proofErr w:type="spellStart"/>
            <w:r>
              <w:t>links</w:t>
            </w:r>
            <w:proofErr w:type="spellEnd"/>
            <w:r>
              <w:t xml:space="preserve"> </w:t>
            </w:r>
            <w:proofErr w:type="spellStart"/>
            <w:r>
              <w:t>represent</w:t>
            </w:r>
            <w:proofErr w:type="spellEnd"/>
            <w:r>
              <w:t xml:space="preserve"> </w:t>
            </w:r>
            <w:proofErr w:type="spellStart"/>
            <w:r>
              <w:t>cells</w:t>
            </w:r>
            <w:proofErr w:type="spellEnd"/>
            <w:r>
              <w:t xml:space="preserve"> </w:t>
            </w:r>
            <w:proofErr w:type="spellStart"/>
            <w:r>
              <w:t>in</w:t>
            </w:r>
            <w:proofErr w:type="spellEnd"/>
            <w:r>
              <w:t xml:space="preserve"> </w:t>
            </w:r>
            <w:proofErr w:type="spellStart"/>
            <w:r>
              <w:t>series</w:t>
            </w:r>
            <w:proofErr w:type="spellEnd"/>
            <w:r>
              <w:t xml:space="preserve"> </w:t>
            </w:r>
            <w:proofErr w:type="spellStart"/>
            <w:r>
              <w:t>to</w:t>
            </w:r>
            <w:proofErr w:type="spellEnd"/>
            <w:r>
              <w:t xml:space="preserve"> </w:t>
            </w:r>
            <w:proofErr w:type="spellStart"/>
            <w:r>
              <w:t>increase</w:t>
            </w:r>
            <w:proofErr w:type="spellEnd"/>
            <w:r>
              <w:t xml:space="preserve"> </w:t>
            </w:r>
            <w:proofErr w:type="spellStart"/>
            <w:r>
              <w:t>voltage</w:t>
            </w:r>
            <w:proofErr w:type="spellEnd"/>
            <w:r>
              <w:t xml:space="preserve">, </w:t>
            </w:r>
            <w:proofErr w:type="spellStart"/>
            <w:r>
              <w:t>doubling</w:t>
            </w:r>
            <w:proofErr w:type="spellEnd"/>
            <w:r>
              <w:t xml:space="preserve"> a </w:t>
            </w:r>
            <w:proofErr w:type="spellStart"/>
            <w:r>
              <w:t>link</w:t>
            </w:r>
            <w:proofErr w:type="spellEnd"/>
            <w:r>
              <w:t xml:space="preserve"> </w:t>
            </w:r>
            <w:proofErr w:type="spellStart"/>
            <w:r>
              <w:t>denotes</w:t>
            </w:r>
            <w:proofErr w:type="spellEnd"/>
            <w:r>
              <w:t xml:space="preserve"> </w:t>
            </w:r>
            <w:proofErr w:type="spellStart"/>
            <w:r>
              <w:t>parallel</w:t>
            </w:r>
            <w:proofErr w:type="spellEnd"/>
            <w:r>
              <w:t xml:space="preserve"> </w:t>
            </w:r>
            <w:proofErr w:type="spellStart"/>
            <w:r>
              <w:t>connection</w:t>
            </w:r>
            <w:proofErr w:type="spellEnd"/>
            <w:r>
              <w:t xml:space="preserve"> </w:t>
            </w:r>
            <w:proofErr w:type="spellStart"/>
            <w:r>
              <w:t>to</w:t>
            </w:r>
            <w:proofErr w:type="spellEnd"/>
            <w:r>
              <w:t xml:space="preserve"> </w:t>
            </w:r>
            <w:proofErr w:type="spellStart"/>
            <w:r>
              <w:t>boost</w:t>
            </w:r>
            <w:proofErr w:type="spellEnd"/>
            <w:r>
              <w:t xml:space="preserve"> </w:t>
            </w:r>
            <w:proofErr w:type="spellStart"/>
            <w:r>
              <w:t>current</w:t>
            </w:r>
            <w:proofErr w:type="spellEnd"/>
            <w:r>
              <w:t xml:space="preserve"> </w:t>
            </w:r>
            <w:proofErr w:type="spellStart"/>
            <w:r>
              <w:t>loading</w:t>
            </w:r>
            <w:proofErr w:type="spellEnd"/>
            <w:r>
              <w:t>.</w:t>
            </w:r>
          </w:p>
        </w:tc>
      </w:tr>
    </w:tbl>
    <w:p w:rsidR="00E9503B" w:rsidRPr="00E9503B" w:rsidRDefault="00E9503B" w:rsidP="00E9503B">
      <w:pPr>
        <w:pStyle w:val="a3"/>
        <w:rPr>
          <w:lang w:val="en-US"/>
        </w:rPr>
      </w:pPr>
      <w:r w:rsidRPr="00E9503B">
        <w:rPr>
          <w:lang w:val="en-US"/>
        </w:rPr>
        <w:t xml:space="preserve">A weak cell may not fail immediately but will get exhausted more quickly than the strong ones when on a load. On charge, the low cell fills up before the strong ones because there is less to fill and it remains in over-charge longer than the others. On discharge, the weak cell empties first and gets hammered by the stronger brothers. Cells in multi-packs must be matched, especially when used under heavy loads. </w:t>
      </w:r>
      <w:proofErr w:type="gramStart"/>
      <w:r w:rsidRPr="00E9503B">
        <w:rPr>
          <w:lang w:val="en-US"/>
        </w:rPr>
        <w:t>(See Cell Mismatch, Balancing).</w:t>
      </w:r>
      <w:proofErr w:type="gramEnd"/>
    </w:p>
    <w:p w:rsidR="00E9503B" w:rsidRPr="00E9503B" w:rsidRDefault="00E9503B" w:rsidP="00E9503B">
      <w:pPr>
        <w:pStyle w:val="2"/>
        <w:rPr>
          <w:lang w:val="en-US"/>
        </w:rPr>
      </w:pPr>
      <w:r w:rsidRPr="00E9503B">
        <w:rPr>
          <w:lang w:val="en-US"/>
        </w:rPr>
        <w:lastRenderedPageBreak/>
        <w:br/>
        <w:t>Single Cell Applications</w:t>
      </w:r>
    </w:p>
    <w:p w:rsidR="00E9503B" w:rsidRPr="00E9503B" w:rsidRDefault="00E9503B" w:rsidP="00E9503B">
      <w:pPr>
        <w:pStyle w:val="a3"/>
        <w:rPr>
          <w:lang w:val="en-US"/>
        </w:rPr>
      </w:pPr>
      <w:r w:rsidRPr="00E9503B">
        <w:rPr>
          <w:lang w:val="en-US"/>
        </w:rPr>
        <w:t>The single-cell configuration is the simplest battery pack; the cell does not need matching and the protection circuit on a small Li-ion cell can be kept simple. Typical examples are mobile phones and tablets with one 3.60V Li-ion cell. Other uses of a single cell are wall clocks, which typically use a 1.5V alkaline cell, wristwatches and memory backup, most of which are very low power applications.</w:t>
      </w:r>
      <w:r w:rsidRPr="00E9503B">
        <w:rPr>
          <w:lang w:val="en-US"/>
        </w:rPr>
        <w:br/>
      </w:r>
      <w:r w:rsidRPr="00E9503B">
        <w:rPr>
          <w:lang w:val="en-US"/>
        </w:rPr>
        <w:br/>
        <w:t>The nominal cell voltage for a nickel-based battery is 1.2V, alkaline is 1.5V; silver-oxide is 1.6V and lead acid is 2.0V. Primary lithium batteries range between 3.0V and 3.9V. Li-ion is 3.6V; Li-phosphate is 3.2V and Li-</w:t>
      </w:r>
      <w:proofErr w:type="spellStart"/>
      <w:r w:rsidRPr="00E9503B">
        <w:rPr>
          <w:lang w:val="en-US"/>
        </w:rPr>
        <w:t>titanate</w:t>
      </w:r>
      <w:proofErr w:type="spellEnd"/>
      <w:r w:rsidRPr="00E9503B">
        <w:rPr>
          <w:lang w:val="en-US"/>
        </w:rPr>
        <w:t xml:space="preserve"> is 2.4V.</w:t>
      </w:r>
    </w:p>
    <w:p w:rsidR="00E9503B" w:rsidRPr="00E9503B" w:rsidRDefault="00E9503B" w:rsidP="00E9503B">
      <w:pPr>
        <w:pStyle w:val="a3"/>
        <w:rPr>
          <w:lang w:val="en-US"/>
        </w:rPr>
      </w:pPr>
      <w:r w:rsidRPr="00E9503B">
        <w:rPr>
          <w:lang w:val="en-US"/>
        </w:rPr>
        <w:t>Li-manganese and other lithium-based systems often use cell voltages of 3.7V and higher. This has less to do with chemistry than promoting a higher watt-hour (</w:t>
      </w:r>
      <w:proofErr w:type="spellStart"/>
      <w:proofErr w:type="gramStart"/>
      <w:r w:rsidRPr="00E9503B">
        <w:rPr>
          <w:lang w:val="en-US"/>
        </w:rPr>
        <w:t>Wh</w:t>
      </w:r>
      <w:proofErr w:type="spellEnd"/>
      <w:proofErr w:type="gramEnd"/>
      <w:r w:rsidRPr="00E9503B">
        <w:rPr>
          <w:lang w:val="en-US"/>
        </w:rPr>
        <w:t xml:space="preserve">), which is made possible with a higher voltage. The argument goes that a low internal cell resistance keeps the voltage high under load. For operational purposes these cells go as 3.6V candidates. </w:t>
      </w:r>
    </w:p>
    <w:p w:rsidR="00E9503B" w:rsidRPr="00E9503B" w:rsidRDefault="00E9503B" w:rsidP="00E9503B">
      <w:pPr>
        <w:pStyle w:val="2"/>
        <w:rPr>
          <w:lang w:val="en-US"/>
        </w:rPr>
      </w:pPr>
      <w:r w:rsidRPr="00E9503B">
        <w:rPr>
          <w:lang w:val="en-US"/>
        </w:rPr>
        <w:t>Series Connection</w:t>
      </w:r>
    </w:p>
    <w:p w:rsidR="00E9503B" w:rsidRPr="00E9503B" w:rsidRDefault="00E9503B" w:rsidP="00E9503B">
      <w:pPr>
        <w:pStyle w:val="a3"/>
        <w:rPr>
          <w:lang w:val="en-US"/>
        </w:rPr>
      </w:pPr>
      <w:r w:rsidRPr="00E9503B">
        <w:rPr>
          <w:lang w:val="en-US"/>
        </w:rPr>
        <w:t>Portable equipment needing higher voltages use battery packs with two or more cells connected in series. Figure 2 shows a battery pack with four 3.6V Li-ion cells in series, also known as 4S, to produce 14.4V nominal. In comparison, a six-cell lead acid string with 2V/cell will generate 12V, and four alkaline with 1.5V/cell will give 6V.</w:t>
      </w:r>
      <w:r w:rsidRPr="00E9503B">
        <w:rPr>
          <w:lang w:val="en-US"/>
        </w:rPr>
        <w:br/>
        <w:t> </w:t>
      </w:r>
    </w:p>
    <w:p w:rsidR="00E9503B" w:rsidRDefault="00E9503B" w:rsidP="00E9503B">
      <w:pPr>
        <w:pStyle w:val="a3"/>
      </w:pPr>
      <w:r>
        <w:rPr>
          <w:noProof/>
        </w:rPr>
        <w:drawing>
          <wp:inline distT="0" distB="0" distL="0" distR="0">
            <wp:extent cx="5429250" cy="1028700"/>
            <wp:effectExtent l="19050" t="0" r="0" b="0"/>
            <wp:docPr id="11" name="Рисунок 2" descr="Serial connection of four NiCd or NiMH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ial connection of four NiCd or NiMH cells"/>
                    <pic:cNvPicPr>
                      <a:picLocks noChangeAspect="1" noChangeArrowheads="1"/>
                    </pic:cNvPicPr>
                  </pic:nvPicPr>
                  <pic:blipFill>
                    <a:blip r:embed="rId6"/>
                    <a:srcRect/>
                    <a:stretch>
                      <a:fillRect/>
                    </a:stretch>
                  </pic:blipFill>
                  <pic:spPr bwMode="auto">
                    <a:xfrm>
                      <a:off x="0" y="0"/>
                      <a:ext cx="5429250" cy="1028700"/>
                    </a:xfrm>
                    <a:prstGeom prst="rect">
                      <a:avLst/>
                    </a:prstGeom>
                    <a:noFill/>
                    <a:ln w="9525">
                      <a:noFill/>
                      <a:miter lim="800000"/>
                      <a:headEnd/>
                      <a:tailEnd/>
                    </a:ln>
                  </pic:spPr>
                </pic:pic>
              </a:graphicData>
            </a:graphic>
          </wp:inline>
        </w:drawing>
      </w:r>
    </w:p>
    <w:p w:rsidR="00E9503B" w:rsidRPr="00E9503B" w:rsidRDefault="00E9503B" w:rsidP="00E9503B">
      <w:pPr>
        <w:pStyle w:val="a3"/>
        <w:ind w:left="120"/>
        <w:rPr>
          <w:lang w:val="en-US"/>
        </w:rPr>
      </w:pPr>
      <w:r w:rsidRPr="00E9503B">
        <w:rPr>
          <w:rStyle w:val="a5"/>
          <w:lang w:val="en-US"/>
        </w:rPr>
        <w:t>Figure 2: Series connection of four cells (4s).</w:t>
      </w:r>
      <w:r w:rsidRPr="00E9503B">
        <w:rPr>
          <w:lang w:val="en-US"/>
        </w:rPr>
        <w:br/>
        <w:t>Adding cells in a string increases the voltage; the capacity remains the same.</w:t>
      </w:r>
      <w:r w:rsidRPr="00E9503B">
        <w:rPr>
          <w:lang w:val="en-US"/>
        </w:rPr>
        <w:br/>
      </w:r>
      <w:r w:rsidRPr="00E9503B">
        <w:rPr>
          <w:vertAlign w:val="superscript"/>
          <w:lang w:val="en-US"/>
        </w:rPr>
        <w:t xml:space="preserve">Courtesy of </w:t>
      </w:r>
      <w:proofErr w:type="spellStart"/>
      <w:r w:rsidRPr="00E9503B">
        <w:rPr>
          <w:vertAlign w:val="superscript"/>
          <w:lang w:val="en-US"/>
        </w:rPr>
        <w:t>Cadex</w:t>
      </w:r>
      <w:proofErr w:type="spellEnd"/>
    </w:p>
    <w:p w:rsidR="00E9503B" w:rsidRDefault="00E9503B" w:rsidP="00E9503B">
      <w:pPr>
        <w:pStyle w:val="a3"/>
      </w:pPr>
      <w:r w:rsidRPr="00E9503B">
        <w:rPr>
          <w:lang w:val="en-US"/>
        </w:rPr>
        <w:br/>
        <w:t xml:space="preserve">If you need an odd voltage of, say, 9.50 volts, connect five lead </w:t>
      </w:r>
      <w:proofErr w:type="gramStart"/>
      <w:r w:rsidRPr="00E9503B">
        <w:rPr>
          <w:lang w:val="en-US"/>
        </w:rPr>
        <w:t>acid</w:t>
      </w:r>
      <w:proofErr w:type="gramEnd"/>
      <w:r w:rsidRPr="00E9503B">
        <w:rPr>
          <w:lang w:val="en-US"/>
        </w:rPr>
        <w:t xml:space="preserve">, eight </w:t>
      </w:r>
      <w:proofErr w:type="spellStart"/>
      <w:r w:rsidRPr="00E9503B">
        <w:rPr>
          <w:lang w:val="en-US"/>
        </w:rPr>
        <w:t>NiMH</w:t>
      </w:r>
      <w:proofErr w:type="spellEnd"/>
      <w:r w:rsidRPr="00E9503B">
        <w:rPr>
          <w:lang w:val="en-US"/>
        </w:rPr>
        <w:t xml:space="preserve"> or </w:t>
      </w:r>
      <w:proofErr w:type="spellStart"/>
      <w:r w:rsidRPr="00E9503B">
        <w:rPr>
          <w:lang w:val="en-US"/>
        </w:rPr>
        <w:t>NiCd</w:t>
      </w:r>
      <w:proofErr w:type="spellEnd"/>
      <w:r w:rsidRPr="00E9503B">
        <w:rPr>
          <w:lang w:val="en-US"/>
        </w:rPr>
        <w:t>, or three Li-ion in series. The end battery voltage does not need to be exact as long as it is higher than what the device specifies. A 12V supply might work in lieu of 9.50V. Most battery-operated devices can tolerate some over-voltage; the end-of-discharge voltage must be respected, however.</w:t>
      </w:r>
      <w:r w:rsidRPr="00E9503B">
        <w:rPr>
          <w:lang w:val="en-US"/>
        </w:rPr>
        <w:br/>
      </w:r>
      <w:r w:rsidRPr="00E9503B">
        <w:rPr>
          <w:lang w:val="en-US"/>
        </w:rPr>
        <w:br/>
        <w:t>High voltage batteries keep the conductor size small. Cordless power tools run on 12V and 18V batteries; high-end models use 24V and 36V. Most e-bikes come with 36V Li-ion, some are 48V. The car industry wanted to increase the starter battery from 12V (14V) to 36V, better known as 42V, by placing 18 lead acid cells in series. Logistics of changing the electrical components and arcing problems on mechanical switches derailed the move.</w:t>
      </w:r>
      <w:r w:rsidRPr="00E9503B">
        <w:rPr>
          <w:lang w:val="en-US"/>
        </w:rPr>
        <w:br/>
      </w:r>
      <w:r w:rsidRPr="00E9503B">
        <w:rPr>
          <w:lang w:val="en-US"/>
        </w:rPr>
        <w:br/>
        <w:t>Some mild hybrid cars run on 48V Li-ion and use DC-DC conversion to 12V for the electrical system. Starting the engine is often done by a separate 12V lead acid battery. Early hybrid cars</w:t>
      </w:r>
      <w:proofErr w:type="gramStart"/>
      <w:r w:rsidRPr="00E9503B">
        <w:rPr>
          <w:lang w:val="en-US"/>
        </w:rPr>
        <w:t>  ran</w:t>
      </w:r>
      <w:proofErr w:type="gramEnd"/>
      <w:r w:rsidRPr="00E9503B">
        <w:rPr>
          <w:lang w:val="en-US"/>
        </w:rPr>
        <w:t xml:space="preserve"> on a 148V battery; electric vehicles are typically 450–500V. Such a battery needs more than 100 Li-ion cells connected in series.</w:t>
      </w:r>
      <w:r w:rsidRPr="00E9503B">
        <w:rPr>
          <w:lang w:val="en-US"/>
        </w:rPr>
        <w:br/>
      </w:r>
      <w:r w:rsidRPr="00E9503B">
        <w:rPr>
          <w:lang w:val="en-US"/>
        </w:rPr>
        <w:br/>
        <w:t>High-voltage batteries require careful cell matching, especially when drawing heavy loads or when operating at cold temperatures. With multiple cells connected in a string, the possibility of one cell failing is real and this would cause a failure. To prevent this from happening, a solid state switch in some large packs bypasses the failing cell to allow continued current flow, albeit at a lower string voltage.</w:t>
      </w:r>
      <w:r w:rsidRPr="00E9503B">
        <w:rPr>
          <w:lang w:val="en-US"/>
        </w:rPr>
        <w:br/>
      </w:r>
      <w:r w:rsidRPr="00E9503B">
        <w:rPr>
          <w:lang w:val="en-US"/>
        </w:rPr>
        <w:br/>
      </w:r>
      <w:r w:rsidRPr="00E9503B">
        <w:rPr>
          <w:lang w:val="en-US"/>
        </w:rPr>
        <w:lastRenderedPageBreak/>
        <w:t>Cell matching is a challenge when replacing a faulty cell in an aging pack. A new cell has a higher capacity than the others, causing an imbalance. Welded construction adds to the complexity of the repair, and this is why battery packs are commonly replaced as a unit.</w:t>
      </w:r>
      <w:r w:rsidRPr="00E9503B">
        <w:rPr>
          <w:lang w:val="en-US"/>
        </w:rPr>
        <w:br/>
      </w:r>
      <w:r w:rsidRPr="00E9503B">
        <w:rPr>
          <w:lang w:val="en-US"/>
        </w:rPr>
        <w:br/>
        <w:t xml:space="preserve">High-voltage batteries in electric vehicles, in which a full replacement would be prohibitive, divide the pack into modules, each consisting of a specific number of cells. If one cell fails, only the affected module is replaced. A slight imbalance might occur if the new module is fitted with new cells. </w:t>
      </w:r>
    </w:p>
    <w:p w:rsidR="00E9503B" w:rsidRPr="00E9503B" w:rsidRDefault="00E9503B" w:rsidP="00E9503B">
      <w:pPr>
        <w:pStyle w:val="a3"/>
        <w:rPr>
          <w:lang w:val="en-US"/>
        </w:rPr>
      </w:pPr>
      <w:r w:rsidRPr="00E9503B">
        <w:rPr>
          <w:lang w:val="en-US"/>
        </w:rPr>
        <w:t>Figure 3 illustrates a battery pack in which “cell 3” produces only 2.8V instead of the full nominal 3.6V. With depressed operating voltage, this battery reaches the end-of-discharge point sooner than a normal pack. The voltage collapses and the device turns off with a “Low Battery” message.</w:t>
      </w:r>
    </w:p>
    <w:p w:rsidR="00E9503B" w:rsidRDefault="00E9503B" w:rsidP="00E9503B">
      <w:pPr>
        <w:pStyle w:val="a3"/>
      </w:pPr>
      <w:r w:rsidRPr="00E9503B">
        <w:rPr>
          <w:lang w:val="en-US"/>
        </w:rPr>
        <w:br/>
      </w:r>
      <w:r>
        <w:rPr>
          <w:noProof/>
        </w:rPr>
        <w:drawing>
          <wp:inline distT="0" distB="0" distL="0" distR="0">
            <wp:extent cx="5429250" cy="1028700"/>
            <wp:effectExtent l="19050" t="0" r="0" b="0"/>
            <wp:docPr id="10" name="Рисунок 3" descr="Serial connection with one faulty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ial connection with one faulty cell"/>
                    <pic:cNvPicPr>
                      <a:picLocks noChangeAspect="1" noChangeArrowheads="1"/>
                    </pic:cNvPicPr>
                  </pic:nvPicPr>
                  <pic:blipFill>
                    <a:blip r:embed="rId7"/>
                    <a:srcRect/>
                    <a:stretch>
                      <a:fillRect/>
                    </a:stretch>
                  </pic:blipFill>
                  <pic:spPr bwMode="auto">
                    <a:xfrm>
                      <a:off x="0" y="0"/>
                      <a:ext cx="5429250" cy="1028700"/>
                    </a:xfrm>
                    <a:prstGeom prst="rect">
                      <a:avLst/>
                    </a:prstGeom>
                    <a:noFill/>
                    <a:ln w="9525">
                      <a:noFill/>
                      <a:miter lim="800000"/>
                      <a:headEnd/>
                      <a:tailEnd/>
                    </a:ln>
                  </pic:spPr>
                </pic:pic>
              </a:graphicData>
            </a:graphic>
          </wp:inline>
        </w:drawing>
      </w:r>
    </w:p>
    <w:p w:rsidR="00E9503B" w:rsidRPr="00E9503B" w:rsidRDefault="00E9503B" w:rsidP="00E9503B">
      <w:pPr>
        <w:pStyle w:val="a3"/>
        <w:ind w:left="120"/>
        <w:rPr>
          <w:lang w:val="en-US"/>
        </w:rPr>
      </w:pPr>
      <w:r w:rsidRPr="00E9503B">
        <w:rPr>
          <w:rStyle w:val="a5"/>
          <w:lang w:val="en-US"/>
        </w:rPr>
        <w:t>Figure 3: Series connection with a faulty cell.</w:t>
      </w:r>
      <w:r w:rsidRPr="00E9503B">
        <w:rPr>
          <w:lang w:val="en-US"/>
        </w:rPr>
        <w:br/>
        <w:t>Faulty cell 3 lowers the voltage and cuts the equipment off prematurely.</w:t>
      </w:r>
      <w:r w:rsidRPr="00E9503B">
        <w:rPr>
          <w:lang w:val="en-US"/>
        </w:rPr>
        <w:br/>
      </w:r>
      <w:r w:rsidRPr="00E9503B">
        <w:rPr>
          <w:vertAlign w:val="superscript"/>
          <w:lang w:val="en-US"/>
        </w:rPr>
        <w:t xml:space="preserve">Courtesy of </w:t>
      </w:r>
      <w:proofErr w:type="spellStart"/>
      <w:r w:rsidRPr="00E9503B">
        <w:rPr>
          <w:vertAlign w:val="superscript"/>
          <w:lang w:val="en-US"/>
        </w:rPr>
        <w:t>Cadex</w:t>
      </w:r>
      <w:proofErr w:type="spellEnd"/>
    </w:p>
    <w:p w:rsidR="00E9503B" w:rsidRPr="00E9503B" w:rsidRDefault="00E9503B" w:rsidP="00E9503B">
      <w:pPr>
        <w:pStyle w:val="a3"/>
        <w:ind w:left="120"/>
        <w:rPr>
          <w:lang w:val="en-US"/>
        </w:rPr>
      </w:pPr>
      <w:r w:rsidRPr="00E9503B">
        <w:rPr>
          <w:lang w:val="en-US"/>
        </w:rPr>
        <w:br/>
      </w:r>
      <w:r w:rsidRPr="00E9503B">
        <w:rPr>
          <w:vertAlign w:val="superscript"/>
          <w:lang w:val="en-US"/>
        </w:rPr>
        <w:t>Batteries in drones and remote controls for hobbyist requiring high load current often exhibit an unexpected voltage drop if one cell in a string is weak. Drawing maximum current stresses frail cells, leading to a possible crash. Reading the voltage after a charge does not identify this anomaly; examining the cell-balance or checking the capacity with a battery analyzer will.</w:t>
      </w:r>
    </w:p>
    <w:p w:rsidR="00E9503B" w:rsidRPr="00E9503B" w:rsidRDefault="00E9503B" w:rsidP="00E9503B">
      <w:pPr>
        <w:pStyle w:val="2"/>
        <w:rPr>
          <w:lang w:val="en-US"/>
        </w:rPr>
      </w:pPr>
      <w:r w:rsidRPr="00E9503B">
        <w:rPr>
          <w:lang w:val="en-US"/>
        </w:rPr>
        <w:br/>
        <w:t>Parallel Connection</w:t>
      </w:r>
    </w:p>
    <w:p w:rsidR="00E9503B" w:rsidRPr="00E9503B" w:rsidRDefault="00E9503B" w:rsidP="00E9503B">
      <w:pPr>
        <w:pStyle w:val="a3"/>
        <w:rPr>
          <w:lang w:val="en-US"/>
        </w:rPr>
      </w:pPr>
      <w:r w:rsidRPr="00E9503B">
        <w:rPr>
          <w:lang w:val="en-US"/>
        </w:rPr>
        <w:t>If higher currents are needed and larger cells are not available or do not fit the design constraint, one or more cells can be connected in parallel. Most battery chemistries allow parallel configurations with little side effect. Figure 4 illustrates four cells connected in parallel in a P4 arrangement. The nominal voltage of the illustrated pack remains at 3.60V, but the capacity (Ah) and runtime are increased fourfold.</w:t>
      </w:r>
    </w:p>
    <w:tbl>
      <w:tblPr>
        <w:tblW w:w="8550" w:type="dxa"/>
        <w:tblCellSpacing w:w="0" w:type="dxa"/>
        <w:tblCellMar>
          <w:left w:w="0" w:type="dxa"/>
          <w:right w:w="0" w:type="dxa"/>
        </w:tblCellMar>
        <w:tblLook w:val="04A0"/>
      </w:tblPr>
      <w:tblGrid>
        <w:gridCol w:w="8550"/>
      </w:tblGrid>
      <w:tr w:rsidR="00E9503B" w:rsidTr="00E9503B">
        <w:trPr>
          <w:trHeight w:val="3240"/>
          <w:tblCellSpacing w:w="0" w:type="dxa"/>
        </w:trPr>
        <w:tc>
          <w:tcPr>
            <w:tcW w:w="5250" w:type="dxa"/>
            <w:vAlign w:val="center"/>
            <w:hideMark/>
          </w:tcPr>
          <w:p w:rsidR="00E9503B" w:rsidRDefault="00E9503B">
            <w:pPr>
              <w:pStyle w:val="a3"/>
            </w:pPr>
            <w:r>
              <w:rPr>
                <w:noProof/>
              </w:rPr>
              <w:drawing>
                <wp:inline distT="0" distB="0" distL="0" distR="0">
                  <wp:extent cx="3048000" cy="2609850"/>
                  <wp:effectExtent l="19050" t="0" r="0" b="0"/>
                  <wp:docPr id="9" name="Рисунок 4" descr="Parallel connection of four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allel connection of four cells"/>
                          <pic:cNvPicPr>
                            <a:picLocks noChangeAspect="1" noChangeArrowheads="1"/>
                          </pic:cNvPicPr>
                        </pic:nvPicPr>
                        <pic:blipFill>
                          <a:blip r:embed="rId8"/>
                          <a:srcRect/>
                          <a:stretch>
                            <a:fillRect/>
                          </a:stretch>
                        </pic:blipFill>
                        <pic:spPr bwMode="auto">
                          <a:xfrm>
                            <a:off x="0" y="0"/>
                            <a:ext cx="3048000" cy="2609850"/>
                          </a:xfrm>
                          <a:prstGeom prst="rect">
                            <a:avLst/>
                          </a:prstGeom>
                          <a:noFill/>
                          <a:ln w="9525">
                            <a:noFill/>
                            <a:miter lim="800000"/>
                            <a:headEnd/>
                            <a:tailEnd/>
                          </a:ln>
                        </pic:spPr>
                      </pic:pic>
                    </a:graphicData>
                  </a:graphic>
                </wp:inline>
              </w:drawing>
            </w:r>
          </w:p>
        </w:tc>
      </w:tr>
      <w:tr w:rsidR="00E9503B" w:rsidTr="00E9503B">
        <w:trPr>
          <w:tblCellSpacing w:w="0" w:type="dxa"/>
        </w:trPr>
        <w:tc>
          <w:tcPr>
            <w:tcW w:w="5250" w:type="dxa"/>
            <w:vAlign w:val="center"/>
            <w:hideMark/>
          </w:tcPr>
          <w:p w:rsidR="00E9503B" w:rsidRPr="00E9503B" w:rsidRDefault="00E9503B">
            <w:pPr>
              <w:pStyle w:val="a3"/>
              <w:rPr>
                <w:lang w:val="en-US"/>
              </w:rPr>
            </w:pPr>
            <w:r w:rsidRPr="00E9503B">
              <w:rPr>
                <w:rStyle w:val="a5"/>
                <w:lang w:val="en-US"/>
              </w:rPr>
              <w:t>Figure 4: Parallel connection of four cells (4p).</w:t>
            </w:r>
            <w:r w:rsidRPr="00E9503B">
              <w:rPr>
                <w:lang w:val="en-US"/>
              </w:rPr>
              <w:br/>
              <w:t>With parallel cells, capacity in Ah and runtime increases while the voltage stays the same.</w:t>
            </w:r>
          </w:p>
          <w:p w:rsidR="00E9503B" w:rsidRDefault="00E9503B">
            <w:pPr>
              <w:pStyle w:val="a3"/>
            </w:pPr>
            <w:proofErr w:type="spellStart"/>
            <w:r>
              <w:rPr>
                <w:vertAlign w:val="superscript"/>
              </w:rPr>
              <w:t>Courtesy</w:t>
            </w:r>
            <w:proofErr w:type="spellEnd"/>
            <w:r>
              <w:rPr>
                <w:vertAlign w:val="superscript"/>
              </w:rPr>
              <w:t xml:space="preserve"> </w:t>
            </w:r>
            <w:proofErr w:type="spellStart"/>
            <w:r>
              <w:rPr>
                <w:vertAlign w:val="superscript"/>
              </w:rPr>
              <w:t>of</w:t>
            </w:r>
            <w:proofErr w:type="spellEnd"/>
            <w:r>
              <w:rPr>
                <w:vertAlign w:val="superscript"/>
              </w:rPr>
              <w:t xml:space="preserve"> </w:t>
            </w:r>
            <w:proofErr w:type="spellStart"/>
            <w:r>
              <w:rPr>
                <w:vertAlign w:val="superscript"/>
              </w:rPr>
              <w:t>Cadex</w:t>
            </w:r>
            <w:proofErr w:type="spellEnd"/>
          </w:p>
        </w:tc>
      </w:tr>
    </w:tbl>
    <w:p w:rsidR="00E9503B" w:rsidRDefault="00E9503B" w:rsidP="00E9503B">
      <w:pPr>
        <w:pStyle w:val="a3"/>
      </w:pPr>
      <w:r w:rsidRPr="00E9503B">
        <w:rPr>
          <w:lang w:val="en-US"/>
        </w:rPr>
        <w:lastRenderedPageBreak/>
        <w:br/>
        <w:t>A cell that develops high resistance or opens is less critical in a parallel circuit than in a series configuration, but a failing cell will reduce the total load capability. It’s like an engine only firing on three cylinders instead of on all four. An electrical short, on the other hand, is more serious as the faulty cell drains energy from the other cells, causing a fire hazard. Most so-called electrical shorts are mild and manifest themselves as elevated self-discharge.</w:t>
      </w:r>
      <w:r w:rsidRPr="00E9503B">
        <w:rPr>
          <w:lang w:val="en-US"/>
        </w:rPr>
        <w:br/>
      </w:r>
      <w:r w:rsidRPr="00E9503B">
        <w:rPr>
          <w:lang w:val="en-US"/>
        </w:rPr>
        <w:br/>
        <w:t xml:space="preserve">A total short can occur through reverse polarization or dendrite growth. Large packs often include a fuse that disconnects the failing cell from the parallel circuit if it were to short. </w:t>
      </w:r>
      <w:proofErr w:type="spellStart"/>
      <w:r>
        <w:t>Figure</w:t>
      </w:r>
      <w:proofErr w:type="spellEnd"/>
      <w:r>
        <w:t xml:space="preserve"> 5 </w:t>
      </w:r>
      <w:proofErr w:type="spellStart"/>
      <w:r>
        <w:t>illustrates</w:t>
      </w:r>
      <w:proofErr w:type="spellEnd"/>
      <w:r>
        <w:t xml:space="preserve"> </w:t>
      </w:r>
      <w:proofErr w:type="spellStart"/>
      <w:r>
        <w:t>a</w:t>
      </w:r>
      <w:proofErr w:type="spellEnd"/>
      <w:r>
        <w:t xml:space="preserve"> </w:t>
      </w:r>
      <w:proofErr w:type="spellStart"/>
      <w:r>
        <w:t>parallel</w:t>
      </w:r>
      <w:proofErr w:type="spellEnd"/>
      <w:r>
        <w:t xml:space="preserve"> </w:t>
      </w:r>
      <w:proofErr w:type="spellStart"/>
      <w:r>
        <w:t>configuration</w:t>
      </w:r>
      <w:proofErr w:type="spellEnd"/>
      <w:r>
        <w:t xml:space="preserve"> </w:t>
      </w:r>
      <w:proofErr w:type="spellStart"/>
      <w:r>
        <w:t>with</w:t>
      </w:r>
      <w:proofErr w:type="spellEnd"/>
      <w:r>
        <w:t xml:space="preserve"> </w:t>
      </w:r>
      <w:proofErr w:type="spellStart"/>
      <w:r>
        <w:t>one</w:t>
      </w:r>
      <w:proofErr w:type="spellEnd"/>
      <w:r>
        <w:t xml:space="preserve"> </w:t>
      </w:r>
      <w:proofErr w:type="spellStart"/>
      <w:r>
        <w:t>faulty</w:t>
      </w:r>
      <w:proofErr w:type="spellEnd"/>
      <w:r>
        <w:t xml:space="preserve"> </w:t>
      </w:r>
      <w:proofErr w:type="spellStart"/>
      <w:r>
        <w:t>cell</w:t>
      </w:r>
      <w:proofErr w:type="spellEnd"/>
      <w:r>
        <w:t>.</w:t>
      </w:r>
    </w:p>
    <w:tbl>
      <w:tblPr>
        <w:tblW w:w="8550" w:type="dxa"/>
        <w:tblCellSpacing w:w="0" w:type="dxa"/>
        <w:tblCellMar>
          <w:left w:w="0" w:type="dxa"/>
          <w:right w:w="0" w:type="dxa"/>
        </w:tblCellMar>
        <w:tblLook w:val="04A0"/>
      </w:tblPr>
      <w:tblGrid>
        <w:gridCol w:w="8550"/>
      </w:tblGrid>
      <w:tr w:rsidR="00E9503B" w:rsidTr="00E9503B">
        <w:trPr>
          <w:tblCellSpacing w:w="0" w:type="dxa"/>
        </w:trPr>
        <w:tc>
          <w:tcPr>
            <w:tcW w:w="5250" w:type="dxa"/>
            <w:vAlign w:val="center"/>
            <w:hideMark/>
          </w:tcPr>
          <w:p w:rsidR="00E9503B" w:rsidRDefault="00E9503B">
            <w:pPr>
              <w:pStyle w:val="a3"/>
            </w:pPr>
            <w:r>
              <w:rPr>
                <w:noProof/>
              </w:rPr>
              <w:drawing>
                <wp:inline distT="0" distB="0" distL="0" distR="0">
                  <wp:extent cx="3048000" cy="2609850"/>
                  <wp:effectExtent l="19050" t="0" r="0" b="0"/>
                  <wp:docPr id="8" name="Рисунок 5" descr="Parallel/connection with one faulty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allel/connection with one faulty cell"/>
                          <pic:cNvPicPr>
                            <a:picLocks noChangeAspect="1" noChangeArrowheads="1"/>
                          </pic:cNvPicPr>
                        </pic:nvPicPr>
                        <pic:blipFill>
                          <a:blip r:embed="rId9"/>
                          <a:srcRect/>
                          <a:stretch>
                            <a:fillRect/>
                          </a:stretch>
                        </pic:blipFill>
                        <pic:spPr bwMode="auto">
                          <a:xfrm>
                            <a:off x="0" y="0"/>
                            <a:ext cx="3048000" cy="2609850"/>
                          </a:xfrm>
                          <a:prstGeom prst="rect">
                            <a:avLst/>
                          </a:prstGeom>
                          <a:noFill/>
                          <a:ln w="9525">
                            <a:noFill/>
                            <a:miter lim="800000"/>
                            <a:headEnd/>
                            <a:tailEnd/>
                          </a:ln>
                        </pic:spPr>
                      </pic:pic>
                    </a:graphicData>
                  </a:graphic>
                </wp:inline>
              </w:drawing>
            </w:r>
          </w:p>
        </w:tc>
      </w:tr>
      <w:tr w:rsidR="00E9503B" w:rsidTr="00E9503B">
        <w:trPr>
          <w:tblCellSpacing w:w="0" w:type="dxa"/>
        </w:trPr>
        <w:tc>
          <w:tcPr>
            <w:tcW w:w="5250" w:type="dxa"/>
            <w:vAlign w:val="center"/>
            <w:hideMark/>
          </w:tcPr>
          <w:p w:rsidR="00E9503B" w:rsidRPr="00E9503B" w:rsidRDefault="00E9503B">
            <w:pPr>
              <w:pStyle w:val="a3"/>
              <w:rPr>
                <w:lang w:val="en-US"/>
              </w:rPr>
            </w:pPr>
            <w:r w:rsidRPr="00E9503B">
              <w:rPr>
                <w:rStyle w:val="a5"/>
                <w:lang w:val="en-US"/>
              </w:rPr>
              <w:t>Figure 5: Parallel/connection with one faulty cell.</w:t>
            </w:r>
            <w:r w:rsidRPr="00E9503B">
              <w:rPr>
                <w:lang w:val="en-US"/>
              </w:rPr>
              <w:br/>
              <w:t>A weak cell will not affect the voltage but provide a low runtime due to reduced capacity. A shorted cell could cause excessive heat and become a fire hazard. On larger packs a fuse prevents high current by isolating the cell.</w:t>
            </w:r>
          </w:p>
          <w:p w:rsidR="00E9503B" w:rsidRDefault="00E9503B">
            <w:pPr>
              <w:pStyle w:val="a3"/>
            </w:pPr>
            <w:proofErr w:type="spellStart"/>
            <w:r>
              <w:rPr>
                <w:vertAlign w:val="superscript"/>
              </w:rPr>
              <w:t>Courtesy</w:t>
            </w:r>
            <w:proofErr w:type="spellEnd"/>
            <w:r>
              <w:rPr>
                <w:vertAlign w:val="superscript"/>
              </w:rPr>
              <w:t xml:space="preserve"> </w:t>
            </w:r>
            <w:proofErr w:type="spellStart"/>
            <w:r>
              <w:rPr>
                <w:vertAlign w:val="superscript"/>
              </w:rPr>
              <w:t>of</w:t>
            </w:r>
            <w:proofErr w:type="spellEnd"/>
            <w:r>
              <w:rPr>
                <w:vertAlign w:val="superscript"/>
              </w:rPr>
              <w:t xml:space="preserve"> </w:t>
            </w:r>
            <w:proofErr w:type="spellStart"/>
            <w:r>
              <w:rPr>
                <w:vertAlign w:val="superscript"/>
              </w:rPr>
              <w:t>Cadex</w:t>
            </w:r>
            <w:proofErr w:type="spellEnd"/>
          </w:p>
        </w:tc>
      </w:tr>
    </w:tbl>
    <w:p w:rsidR="00E9503B" w:rsidRDefault="00E9503B" w:rsidP="00E9503B">
      <w:pPr>
        <w:pStyle w:val="2"/>
      </w:pPr>
      <w:r>
        <w:br/>
      </w:r>
      <w:proofErr w:type="spellStart"/>
      <w:r>
        <w:t>Series</w:t>
      </w:r>
      <w:proofErr w:type="spellEnd"/>
      <w:r>
        <w:t>/</w:t>
      </w:r>
      <w:proofErr w:type="spellStart"/>
      <w:r>
        <w:t>parallel</w:t>
      </w:r>
      <w:proofErr w:type="spellEnd"/>
      <w:r>
        <w:t xml:space="preserve"> </w:t>
      </w:r>
      <w:proofErr w:type="spellStart"/>
      <w:r>
        <w:t>Connection</w:t>
      </w:r>
      <w:proofErr w:type="spellEnd"/>
    </w:p>
    <w:p w:rsidR="00E9503B" w:rsidRPr="00E9503B" w:rsidRDefault="00E9503B" w:rsidP="00E9503B">
      <w:pPr>
        <w:pStyle w:val="a3"/>
        <w:rPr>
          <w:lang w:val="en-US"/>
        </w:rPr>
      </w:pPr>
      <w:r w:rsidRPr="00E9503B">
        <w:rPr>
          <w:lang w:val="en-US"/>
        </w:rPr>
        <w:t>The series/parallel configuration shown in Figure 6 enables design flexibility and achieves the desired voltage and current ratings with a standard cell size. The total power is the product of voltage-times-current; four 3.6V (nominal) cells multiplied by 3,400mAh produce 12.24Wh. Four 18650 Energy Cells of 3,400mAh each can be connected in series and parallel as shown to get 7.2V nominal and 12.24Wh. The slim cell allows flexible pack design but a protection circuit is needed.</w:t>
      </w:r>
      <w:r w:rsidRPr="00E9503B">
        <w:rPr>
          <w:lang w:val="en-US"/>
        </w:rPr>
        <w:br/>
        <w:t> </w:t>
      </w:r>
    </w:p>
    <w:tbl>
      <w:tblPr>
        <w:tblW w:w="8550" w:type="dxa"/>
        <w:tblCellSpacing w:w="0" w:type="dxa"/>
        <w:tblCellMar>
          <w:left w:w="0" w:type="dxa"/>
          <w:right w:w="0" w:type="dxa"/>
        </w:tblCellMar>
        <w:tblLook w:val="04A0"/>
      </w:tblPr>
      <w:tblGrid>
        <w:gridCol w:w="8550"/>
      </w:tblGrid>
      <w:tr w:rsidR="00E9503B" w:rsidTr="00E9503B">
        <w:trPr>
          <w:tblCellSpacing w:w="0" w:type="dxa"/>
        </w:trPr>
        <w:tc>
          <w:tcPr>
            <w:tcW w:w="5250" w:type="dxa"/>
            <w:vAlign w:val="center"/>
            <w:hideMark/>
          </w:tcPr>
          <w:p w:rsidR="00E9503B" w:rsidRDefault="00E9503B">
            <w:pPr>
              <w:pStyle w:val="a3"/>
            </w:pPr>
            <w:r>
              <w:rPr>
                <w:noProof/>
              </w:rPr>
              <w:drawing>
                <wp:inline distT="0" distB="0" distL="0" distR="0">
                  <wp:extent cx="3048000" cy="1466850"/>
                  <wp:effectExtent l="19050" t="0" r="0" b="0"/>
                  <wp:docPr id="7" name="Рисунок 6" descr="Parall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rallel"/>
                          <pic:cNvPicPr>
                            <a:picLocks noChangeAspect="1" noChangeArrowheads="1"/>
                          </pic:cNvPicPr>
                        </pic:nvPicPr>
                        <pic:blipFill>
                          <a:blip r:embed="rId10"/>
                          <a:srcRect/>
                          <a:stretch>
                            <a:fillRect/>
                          </a:stretch>
                        </pic:blipFill>
                        <pic:spPr bwMode="auto">
                          <a:xfrm>
                            <a:off x="0" y="0"/>
                            <a:ext cx="3048000" cy="1466850"/>
                          </a:xfrm>
                          <a:prstGeom prst="rect">
                            <a:avLst/>
                          </a:prstGeom>
                          <a:noFill/>
                          <a:ln w="9525">
                            <a:noFill/>
                            <a:miter lim="800000"/>
                            <a:headEnd/>
                            <a:tailEnd/>
                          </a:ln>
                        </pic:spPr>
                      </pic:pic>
                    </a:graphicData>
                  </a:graphic>
                </wp:inline>
              </w:drawing>
            </w:r>
          </w:p>
        </w:tc>
      </w:tr>
      <w:tr w:rsidR="00E9503B" w:rsidTr="00E9503B">
        <w:trPr>
          <w:tblCellSpacing w:w="0" w:type="dxa"/>
        </w:trPr>
        <w:tc>
          <w:tcPr>
            <w:tcW w:w="5250" w:type="dxa"/>
            <w:vAlign w:val="center"/>
            <w:hideMark/>
          </w:tcPr>
          <w:p w:rsidR="00E9503B" w:rsidRPr="00E9503B" w:rsidRDefault="00E9503B">
            <w:pPr>
              <w:pStyle w:val="a3"/>
              <w:rPr>
                <w:lang w:val="en-US"/>
              </w:rPr>
            </w:pPr>
            <w:r w:rsidRPr="00E9503B">
              <w:rPr>
                <w:rStyle w:val="a5"/>
                <w:lang w:val="en-US"/>
              </w:rPr>
              <w:t>Figure 6: Series/ parallel connection of four cells (2s2p).</w:t>
            </w:r>
            <w:r w:rsidRPr="00E9503B">
              <w:rPr>
                <w:lang w:val="en-US"/>
              </w:rPr>
              <w:br/>
              <w:t>This configuration provides maximum design flexibility. Paralleling the cells helps in voltage management.</w:t>
            </w:r>
          </w:p>
          <w:p w:rsidR="00E9503B" w:rsidRPr="00E9503B" w:rsidRDefault="00E9503B">
            <w:pPr>
              <w:pStyle w:val="a3"/>
              <w:rPr>
                <w:lang w:val="en-US"/>
              </w:rPr>
            </w:pPr>
            <w:r w:rsidRPr="00E9503B">
              <w:rPr>
                <w:vertAlign w:val="superscript"/>
                <w:lang w:val="en-US"/>
              </w:rPr>
              <w:t xml:space="preserve">Courtesy of </w:t>
            </w:r>
            <w:proofErr w:type="spellStart"/>
            <w:r w:rsidRPr="00E9503B">
              <w:rPr>
                <w:vertAlign w:val="superscript"/>
                <w:lang w:val="en-US"/>
              </w:rPr>
              <w:t>Cadex</w:t>
            </w:r>
            <w:proofErr w:type="spellEnd"/>
          </w:p>
        </w:tc>
      </w:tr>
    </w:tbl>
    <w:p w:rsidR="00E9503B" w:rsidRPr="00E9503B" w:rsidRDefault="00E9503B" w:rsidP="00E9503B">
      <w:pPr>
        <w:pStyle w:val="a3"/>
        <w:rPr>
          <w:lang w:val="en-US"/>
        </w:rPr>
      </w:pPr>
      <w:r w:rsidRPr="00E9503B">
        <w:rPr>
          <w:lang w:val="en-US"/>
        </w:rPr>
        <w:lastRenderedPageBreak/>
        <w:br/>
        <w:t>Li-ion lends itself well to series/parallel configurations but the cells need monitoring to stay within voltage and current limits. Integrated circuits (ICs) for various cell combinations are available to supervise up to 13 Li-ion cells. Larger packs need custom circuits, and this applies to e-bike batteries, hybrid cars and the Tesla Model 85 that devours over 7000 18650 cells to make up the 90kWh pack.</w:t>
      </w:r>
      <w:r w:rsidRPr="00E9503B">
        <w:rPr>
          <w:lang w:val="en-US"/>
        </w:rPr>
        <w:br/>
        <w:t> </w:t>
      </w:r>
    </w:p>
    <w:p w:rsidR="00E9503B" w:rsidRPr="00E9503B" w:rsidRDefault="00E9503B" w:rsidP="00E9503B">
      <w:pPr>
        <w:pStyle w:val="2"/>
        <w:rPr>
          <w:lang w:val="en-US"/>
        </w:rPr>
      </w:pPr>
      <w:r w:rsidRPr="00E9503B">
        <w:rPr>
          <w:lang w:val="en-US"/>
        </w:rPr>
        <w:t>Terminology to describe Series and Parallel Connection</w:t>
      </w:r>
    </w:p>
    <w:p w:rsidR="00E9503B" w:rsidRPr="00E9503B" w:rsidRDefault="00E9503B" w:rsidP="00E9503B">
      <w:pPr>
        <w:pStyle w:val="a3"/>
        <w:rPr>
          <w:lang w:val="en-US"/>
        </w:rPr>
      </w:pPr>
      <w:r w:rsidRPr="00E9503B">
        <w:rPr>
          <w:lang w:val="en-US"/>
        </w:rPr>
        <w:t>The battery industry specifies the number of sells in series first, followed by the cells placed in parallel. An example is 2s2p. With Li-ion, the parallel strings are always made first; the completed parallel units are then placed in series. Li-ion is a voltage based system that lends itself well for parallel formation. Combining several cells into a parallel and then adding the units serially reduces complexity in terms of voltages control for pack protection.</w:t>
      </w:r>
    </w:p>
    <w:p w:rsidR="00E9503B" w:rsidRPr="00E9503B" w:rsidRDefault="00E9503B" w:rsidP="00E9503B">
      <w:pPr>
        <w:pStyle w:val="a3"/>
        <w:rPr>
          <w:lang w:val="en-US"/>
        </w:rPr>
      </w:pPr>
      <w:r w:rsidRPr="00E9503B">
        <w:rPr>
          <w:lang w:val="en-US"/>
        </w:rPr>
        <w:t xml:space="preserve">Building series strings first and then placing them in </w:t>
      </w:r>
      <w:proofErr w:type="spellStart"/>
      <w:r w:rsidRPr="00E9503B">
        <w:rPr>
          <w:lang w:val="en-US"/>
        </w:rPr>
        <w:t>in</w:t>
      </w:r>
      <w:proofErr w:type="spellEnd"/>
      <w:r w:rsidRPr="00E9503B">
        <w:rPr>
          <w:lang w:val="en-US"/>
        </w:rPr>
        <w:t xml:space="preserve"> parallel may be more common with </w:t>
      </w:r>
      <w:proofErr w:type="spellStart"/>
      <w:r w:rsidRPr="00E9503B">
        <w:rPr>
          <w:lang w:val="en-US"/>
        </w:rPr>
        <w:t>NiCd</w:t>
      </w:r>
      <w:proofErr w:type="spellEnd"/>
      <w:r w:rsidRPr="00E9503B">
        <w:rPr>
          <w:lang w:val="en-US"/>
        </w:rPr>
        <w:t xml:space="preserve"> packs to satisfy the chemical shuttle mechanism that balances charge at the top of charge. “2s2p” is common; white papers have been issued that refer to 2p2s when a serial string is paralleled.</w:t>
      </w:r>
    </w:p>
    <w:p w:rsidR="00E9503B" w:rsidRPr="00E9503B" w:rsidRDefault="00E9503B" w:rsidP="00E9503B">
      <w:pPr>
        <w:pStyle w:val="2"/>
        <w:rPr>
          <w:lang w:val="en-US"/>
        </w:rPr>
      </w:pPr>
      <w:r w:rsidRPr="00E9503B">
        <w:rPr>
          <w:lang w:val="en-US"/>
        </w:rPr>
        <w:br/>
        <w:t>Safety devices in Series and Parallel Connection</w:t>
      </w:r>
    </w:p>
    <w:p w:rsidR="00E9503B" w:rsidRDefault="00E9503B" w:rsidP="00E9503B">
      <w:pPr>
        <w:pStyle w:val="a3"/>
      </w:pPr>
      <w:r w:rsidRPr="00E9503B">
        <w:rPr>
          <w:lang w:val="en-US"/>
        </w:rPr>
        <w:t xml:space="preserve">Positive Temperature Coefficient Switches (PTC) and Charge Interrupt Devices (CID) protect the battery from </w:t>
      </w:r>
      <w:proofErr w:type="spellStart"/>
      <w:r w:rsidRPr="00E9503B">
        <w:rPr>
          <w:lang w:val="en-US"/>
        </w:rPr>
        <w:t>overcurrent</w:t>
      </w:r>
      <w:proofErr w:type="spellEnd"/>
      <w:r w:rsidRPr="00E9503B">
        <w:rPr>
          <w:lang w:val="en-US"/>
        </w:rPr>
        <w:t xml:space="preserve"> and excessive pressure. While recommended for safety in a smaller 2- or 3-cell pack with serial and parallel configuration, these protection devices are often being omitted in larger multi-cell batteries, such as those for power tool. The PTC and CID work as expected to switch of the cell on excessive current and internal cell pressure; however the shutdown occurs in cascade format. While some cells may go offline early, the load current causes excess current on the remaining cells. Such overload condition could lead to a thermal runaway before the remaining safety devices activate.</w:t>
      </w:r>
      <w:r w:rsidRPr="00E9503B">
        <w:rPr>
          <w:lang w:val="en-US"/>
        </w:rPr>
        <w:br/>
      </w:r>
      <w:r w:rsidRPr="00E9503B">
        <w:rPr>
          <w:lang w:val="en-US"/>
        </w:rPr>
        <w:br/>
        <w:t xml:space="preserve">Some cells have built-in PCT and CID; these protection devices can also be added retroactively. The design engineer must be aware than any safety device is subject to failure. In addition, the PTC induces a small internal resistance that reduces the load current. </w:t>
      </w:r>
    </w:p>
    <w:p w:rsidR="00E9503B" w:rsidRPr="00E9503B" w:rsidRDefault="00E9503B" w:rsidP="00E9503B">
      <w:pPr>
        <w:pStyle w:val="2"/>
        <w:rPr>
          <w:lang w:val="en-US"/>
        </w:rPr>
      </w:pPr>
      <w:r w:rsidRPr="00E9503B">
        <w:rPr>
          <w:lang w:val="en-US"/>
        </w:rPr>
        <w:t>Simple Guidelines for Using Household Primary Batteries</w:t>
      </w:r>
    </w:p>
    <w:p w:rsidR="00E9503B" w:rsidRDefault="00E9503B" w:rsidP="00E9503B">
      <w:pPr>
        <w:numPr>
          <w:ilvl w:val="0"/>
          <w:numId w:val="3"/>
        </w:numPr>
        <w:spacing w:before="100" w:beforeAutospacing="1" w:after="100" w:afterAutospacing="1"/>
      </w:pPr>
      <w:proofErr w:type="spellStart"/>
      <w:r>
        <w:t>Keep</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contacts</w:t>
      </w:r>
      <w:proofErr w:type="spellEnd"/>
      <w:r>
        <w:t xml:space="preserve"> </w:t>
      </w:r>
      <w:proofErr w:type="spellStart"/>
      <w:r>
        <w:t>clean</w:t>
      </w:r>
      <w:proofErr w:type="spellEnd"/>
      <w:r>
        <w:t>. A four-</w:t>
      </w:r>
      <w:proofErr w:type="spellStart"/>
      <w:r>
        <w:t>cell</w:t>
      </w:r>
      <w:proofErr w:type="spellEnd"/>
      <w:r>
        <w:t xml:space="preserve"> </w:t>
      </w:r>
      <w:proofErr w:type="spellStart"/>
      <w:r>
        <w:t>configuration</w:t>
      </w:r>
      <w:proofErr w:type="spellEnd"/>
      <w:r>
        <w:t xml:space="preserve"> </w:t>
      </w:r>
      <w:proofErr w:type="spellStart"/>
      <w:r>
        <w:t>has</w:t>
      </w:r>
      <w:proofErr w:type="spellEnd"/>
      <w:r>
        <w:t xml:space="preserve"> </w:t>
      </w:r>
      <w:proofErr w:type="spellStart"/>
      <w:r>
        <w:t>eight</w:t>
      </w:r>
      <w:proofErr w:type="spellEnd"/>
      <w:r>
        <w:t xml:space="preserve"> </w:t>
      </w:r>
      <w:proofErr w:type="spellStart"/>
      <w:r>
        <w:t>contacts</w:t>
      </w:r>
      <w:proofErr w:type="spellEnd"/>
      <w:r>
        <w:t xml:space="preserve"> </w:t>
      </w:r>
      <w:proofErr w:type="spellStart"/>
      <w:r>
        <w:t>and</w:t>
      </w:r>
      <w:proofErr w:type="spellEnd"/>
      <w:r>
        <w:t xml:space="preserve"> </w:t>
      </w:r>
      <w:proofErr w:type="spellStart"/>
      <w:r>
        <w:t>each</w:t>
      </w:r>
      <w:proofErr w:type="spellEnd"/>
      <w:r>
        <w:t xml:space="preserve"> </w:t>
      </w:r>
      <w:proofErr w:type="spellStart"/>
      <w:r>
        <w:t>contact</w:t>
      </w:r>
      <w:proofErr w:type="spellEnd"/>
      <w:r>
        <w:t xml:space="preserve"> </w:t>
      </w:r>
      <w:proofErr w:type="spellStart"/>
      <w:r>
        <w:t>adds</w:t>
      </w:r>
      <w:proofErr w:type="spellEnd"/>
      <w:r>
        <w:t xml:space="preserve"> </w:t>
      </w:r>
      <w:proofErr w:type="spellStart"/>
      <w:r>
        <w:t>resistance</w:t>
      </w:r>
      <w:proofErr w:type="spellEnd"/>
      <w:r>
        <w:t xml:space="preserve"> (</w:t>
      </w:r>
      <w:proofErr w:type="spellStart"/>
      <w:r>
        <w:t>cell</w:t>
      </w:r>
      <w:proofErr w:type="spellEnd"/>
      <w:r>
        <w:t xml:space="preserve"> </w:t>
      </w:r>
      <w:proofErr w:type="spellStart"/>
      <w:r>
        <w:t>to</w:t>
      </w:r>
      <w:proofErr w:type="spellEnd"/>
      <w:r>
        <w:t xml:space="preserve"> </w:t>
      </w:r>
      <w:proofErr w:type="spellStart"/>
      <w:r>
        <w:t>holder</w:t>
      </w:r>
      <w:proofErr w:type="spellEnd"/>
      <w:r>
        <w:t xml:space="preserve"> </w:t>
      </w:r>
      <w:proofErr w:type="spellStart"/>
      <w:r>
        <w:t>and</w:t>
      </w:r>
      <w:proofErr w:type="spellEnd"/>
      <w:r>
        <w:t xml:space="preserve"> </w:t>
      </w:r>
      <w:proofErr w:type="spellStart"/>
      <w:r>
        <w:t>holder</w:t>
      </w:r>
      <w:proofErr w:type="spellEnd"/>
      <w:r>
        <w:t xml:space="preserve"> </w:t>
      </w:r>
      <w:proofErr w:type="spellStart"/>
      <w:r>
        <w:t>to</w:t>
      </w:r>
      <w:proofErr w:type="spellEnd"/>
      <w:r>
        <w:t xml:space="preserve"> </w:t>
      </w:r>
      <w:proofErr w:type="spellStart"/>
      <w:r>
        <w:t>next</w:t>
      </w:r>
      <w:proofErr w:type="spellEnd"/>
      <w:r>
        <w:t xml:space="preserve"> </w:t>
      </w:r>
      <w:proofErr w:type="spellStart"/>
      <w:r>
        <w:t>cell</w:t>
      </w:r>
      <w:proofErr w:type="spellEnd"/>
      <w:r>
        <w:t>).</w:t>
      </w:r>
    </w:p>
    <w:p w:rsidR="00E9503B" w:rsidRDefault="00E9503B" w:rsidP="00E9503B">
      <w:pPr>
        <w:numPr>
          <w:ilvl w:val="0"/>
          <w:numId w:val="3"/>
        </w:numPr>
        <w:spacing w:before="100" w:beforeAutospacing="1" w:after="100" w:afterAutospacing="1"/>
      </w:pPr>
      <w:proofErr w:type="spellStart"/>
      <w:r>
        <w:t>Never</w:t>
      </w:r>
      <w:proofErr w:type="spellEnd"/>
      <w:r>
        <w:t xml:space="preserve"> </w:t>
      </w:r>
      <w:proofErr w:type="spellStart"/>
      <w:r>
        <w:t>mix</w:t>
      </w:r>
      <w:proofErr w:type="spellEnd"/>
      <w:r>
        <w:t xml:space="preserve"> </w:t>
      </w:r>
      <w:proofErr w:type="spellStart"/>
      <w:r>
        <w:t>batteries</w:t>
      </w:r>
      <w:proofErr w:type="spellEnd"/>
      <w:r>
        <w:t xml:space="preserve">; </w:t>
      </w:r>
      <w:proofErr w:type="spellStart"/>
      <w:r>
        <w:t>replace</w:t>
      </w:r>
      <w:proofErr w:type="spellEnd"/>
      <w:r>
        <w:t xml:space="preserve"> </w:t>
      </w:r>
      <w:proofErr w:type="spellStart"/>
      <w:r>
        <w:t>all</w:t>
      </w:r>
      <w:proofErr w:type="spellEnd"/>
      <w:r>
        <w:t xml:space="preserve"> </w:t>
      </w:r>
      <w:proofErr w:type="spellStart"/>
      <w:r>
        <w:t>cells</w:t>
      </w:r>
      <w:proofErr w:type="spellEnd"/>
      <w:r>
        <w:t xml:space="preserve"> </w:t>
      </w:r>
      <w:proofErr w:type="spellStart"/>
      <w:r>
        <w:t>when</w:t>
      </w:r>
      <w:proofErr w:type="spellEnd"/>
      <w:r>
        <w:t xml:space="preserve"> </w:t>
      </w:r>
      <w:proofErr w:type="spellStart"/>
      <w:r>
        <w:t>weak</w:t>
      </w:r>
      <w:proofErr w:type="spellEnd"/>
      <w:r>
        <w:t xml:space="preserve">. </w:t>
      </w:r>
      <w:proofErr w:type="spellStart"/>
      <w:r>
        <w:t>The</w:t>
      </w:r>
      <w:proofErr w:type="spellEnd"/>
      <w:r>
        <w:t xml:space="preserve"> </w:t>
      </w:r>
      <w:proofErr w:type="spellStart"/>
      <w:r>
        <w:t>overall</w:t>
      </w:r>
      <w:proofErr w:type="spellEnd"/>
      <w:r>
        <w:t xml:space="preserve"> </w:t>
      </w:r>
      <w:proofErr w:type="spellStart"/>
      <w:r>
        <w:t>performance</w:t>
      </w:r>
      <w:proofErr w:type="spellEnd"/>
      <w:r>
        <w:t xml:space="preserve"> </w:t>
      </w:r>
      <w:proofErr w:type="spellStart"/>
      <w:r>
        <w:t>is</w:t>
      </w:r>
      <w:proofErr w:type="spellEnd"/>
      <w:r>
        <w:t xml:space="preserve"> </w:t>
      </w:r>
      <w:proofErr w:type="spellStart"/>
      <w:r>
        <w:t>only</w:t>
      </w:r>
      <w:proofErr w:type="spellEnd"/>
      <w:r>
        <w:t xml:space="preserve"> </w:t>
      </w:r>
      <w:proofErr w:type="spellStart"/>
      <w:r>
        <w:t>as</w:t>
      </w:r>
      <w:proofErr w:type="spellEnd"/>
      <w:r>
        <w:t xml:space="preserve"> </w:t>
      </w:r>
      <w:proofErr w:type="spellStart"/>
      <w:r>
        <w:t>good</w:t>
      </w:r>
      <w:proofErr w:type="spellEnd"/>
      <w:r>
        <w:t xml:space="preserve"> </w:t>
      </w:r>
      <w:proofErr w:type="spellStart"/>
      <w:r>
        <w:t>as</w:t>
      </w:r>
      <w:proofErr w:type="spellEnd"/>
      <w:r>
        <w:t xml:space="preserve"> </w:t>
      </w:r>
      <w:proofErr w:type="spellStart"/>
      <w:r>
        <w:t>the</w:t>
      </w:r>
      <w:proofErr w:type="spellEnd"/>
      <w:r>
        <w:t xml:space="preserve"> </w:t>
      </w:r>
      <w:proofErr w:type="spellStart"/>
      <w:r>
        <w:t>weakest</w:t>
      </w:r>
      <w:proofErr w:type="spellEnd"/>
      <w:r>
        <w:t xml:space="preserve"> </w:t>
      </w:r>
      <w:proofErr w:type="spellStart"/>
      <w:r>
        <w:t>link</w:t>
      </w:r>
      <w:proofErr w:type="spellEnd"/>
      <w:r>
        <w:t xml:space="preserve"> </w:t>
      </w:r>
      <w:proofErr w:type="spellStart"/>
      <w:r>
        <w:t>in</w:t>
      </w:r>
      <w:proofErr w:type="spellEnd"/>
      <w:r>
        <w:t xml:space="preserve"> </w:t>
      </w:r>
      <w:proofErr w:type="spellStart"/>
      <w:r>
        <w:t>the</w:t>
      </w:r>
      <w:proofErr w:type="spellEnd"/>
      <w:r>
        <w:t xml:space="preserve"> </w:t>
      </w:r>
      <w:proofErr w:type="spellStart"/>
      <w:r>
        <w:t>chain</w:t>
      </w:r>
      <w:proofErr w:type="spellEnd"/>
      <w:r>
        <w:t>.</w:t>
      </w:r>
    </w:p>
    <w:p w:rsidR="00E9503B" w:rsidRDefault="00E9503B" w:rsidP="00E9503B">
      <w:pPr>
        <w:numPr>
          <w:ilvl w:val="0"/>
          <w:numId w:val="3"/>
        </w:numPr>
        <w:spacing w:before="100" w:beforeAutospacing="1" w:after="100" w:afterAutospacing="1"/>
      </w:pPr>
      <w:proofErr w:type="spellStart"/>
      <w:r>
        <w:t>Observe</w:t>
      </w:r>
      <w:proofErr w:type="spellEnd"/>
      <w:r>
        <w:t xml:space="preserve"> </w:t>
      </w:r>
      <w:proofErr w:type="spellStart"/>
      <w:r>
        <w:t>polarity</w:t>
      </w:r>
      <w:proofErr w:type="spellEnd"/>
      <w:r>
        <w:t xml:space="preserve">. A </w:t>
      </w:r>
      <w:proofErr w:type="spellStart"/>
      <w:r>
        <w:t>reversed</w:t>
      </w:r>
      <w:proofErr w:type="spellEnd"/>
      <w:r>
        <w:t xml:space="preserve"> </w:t>
      </w:r>
      <w:proofErr w:type="spellStart"/>
      <w:r>
        <w:t>cell</w:t>
      </w:r>
      <w:proofErr w:type="spellEnd"/>
      <w:r>
        <w:t xml:space="preserve"> </w:t>
      </w:r>
      <w:proofErr w:type="spellStart"/>
      <w:r>
        <w:t>subtracts</w:t>
      </w:r>
      <w:proofErr w:type="spellEnd"/>
      <w:r>
        <w:t xml:space="preserve"> </w:t>
      </w:r>
      <w:proofErr w:type="spellStart"/>
      <w:r>
        <w:t>rather</w:t>
      </w:r>
      <w:proofErr w:type="spellEnd"/>
      <w:r>
        <w:t xml:space="preserve"> </w:t>
      </w:r>
      <w:proofErr w:type="spellStart"/>
      <w:r>
        <w:t>than</w:t>
      </w:r>
      <w:proofErr w:type="spellEnd"/>
      <w:r>
        <w:t xml:space="preserve"> </w:t>
      </w:r>
      <w:proofErr w:type="spellStart"/>
      <w:r>
        <w:t>adds</w:t>
      </w:r>
      <w:proofErr w:type="spellEnd"/>
      <w:r>
        <w:t xml:space="preserve"> </w:t>
      </w:r>
      <w:proofErr w:type="spellStart"/>
      <w:r>
        <w:t>to</w:t>
      </w:r>
      <w:proofErr w:type="spellEnd"/>
      <w:r>
        <w:t xml:space="preserve"> </w:t>
      </w:r>
      <w:proofErr w:type="spellStart"/>
      <w:r>
        <w:t>the</w:t>
      </w:r>
      <w:proofErr w:type="spellEnd"/>
      <w:r>
        <w:t xml:space="preserve"> </w:t>
      </w:r>
      <w:proofErr w:type="spellStart"/>
      <w:r>
        <w:t>cell</w:t>
      </w:r>
      <w:proofErr w:type="spellEnd"/>
      <w:r>
        <w:t xml:space="preserve"> </w:t>
      </w:r>
      <w:proofErr w:type="spellStart"/>
      <w:r>
        <w:t>voltage</w:t>
      </w:r>
      <w:proofErr w:type="spellEnd"/>
      <w:r>
        <w:t>.</w:t>
      </w:r>
    </w:p>
    <w:p w:rsidR="00E9503B" w:rsidRDefault="00E9503B" w:rsidP="00E9503B">
      <w:pPr>
        <w:numPr>
          <w:ilvl w:val="0"/>
          <w:numId w:val="3"/>
        </w:numPr>
        <w:spacing w:before="100" w:beforeAutospacing="1" w:after="100" w:afterAutospacing="1"/>
      </w:pPr>
      <w:proofErr w:type="spellStart"/>
      <w:r>
        <w:t>Remove</w:t>
      </w:r>
      <w:proofErr w:type="spellEnd"/>
      <w:r>
        <w:t xml:space="preserve"> </w:t>
      </w:r>
      <w:proofErr w:type="spellStart"/>
      <w:r>
        <w:t>batteries</w:t>
      </w:r>
      <w:proofErr w:type="spellEnd"/>
      <w:r>
        <w:t xml:space="preserve"> </w:t>
      </w:r>
      <w:proofErr w:type="spellStart"/>
      <w:r>
        <w:t>from</w:t>
      </w:r>
      <w:proofErr w:type="spellEnd"/>
      <w:r>
        <w:t xml:space="preserve"> </w:t>
      </w:r>
      <w:proofErr w:type="spellStart"/>
      <w:r>
        <w:t>the</w:t>
      </w:r>
      <w:proofErr w:type="spellEnd"/>
      <w:r>
        <w:t xml:space="preserve"> </w:t>
      </w:r>
      <w:proofErr w:type="spellStart"/>
      <w:r>
        <w:t>equipment</w:t>
      </w:r>
      <w:proofErr w:type="spellEnd"/>
      <w:r>
        <w:t xml:space="preserve"> </w:t>
      </w:r>
      <w:proofErr w:type="spellStart"/>
      <w:r>
        <w:t>when</w:t>
      </w:r>
      <w:proofErr w:type="spellEnd"/>
      <w:r>
        <w:t xml:space="preserve"> </w:t>
      </w:r>
      <w:proofErr w:type="spellStart"/>
      <w:r>
        <w:t>no</w:t>
      </w:r>
      <w:proofErr w:type="spellEnd"/>
      <w:r>
        <w:t xml:space="preserve"> </w:t>
      </w:r>
      <w:proofErr w:type="spellStart"/>
      <w:r>
        <w:t>longer</w:t>
      </w:r>
      <w:proofErr w:type="spellEnd"/>
      <w:r>
        <w:t xml:space="preserve"> </w:t>
      </w:r>
      <w:proofErr w:type="spellStart"/>
      <w:r>
        <w:t>in</w:t>
      </w:r>
      <w:proofErr w:type="spellEnd"/>
      <w:r>
        <w:t xml:space="preserve"> </w:t>
      </w:r>
      <w:proofErr w:type="spellStart"/>
      <w:r>
        <w:t>use</w:t>
      </w:r>
      <w:proofErr w:type="spellEnd"/>
      <w:r>
        <w:t xml:space="preserve"> </w:t>
      </w:r>
      <w:proofErr w:type="spellStart"/>
      <w:r>
        <w:t>to</w:t>
      </w:r>
      <w:proofErr w:type="spellEnd"/>
      <w:r>
        <w:t xml:space="preserve"> </w:t>
      </w:r>
      <w:proofErr w:type="spellStart"/>
      <w:r>
        <w:t>prevent</w:t>
      </w:r>
      <w:proofErr w:type="spellEnd"/>
      <w:r>
        <w:t xml:space="preserve"> </w:t>
      </w:r>
      <w:proofErr w:type="spellStart"/>
      <w:r>
        <w:t>leakage</w:t>
      </w:r>
      <w:proofErr w:type="spellEnd"/>
      <w:r>
        <w:t xml:space="preserve"> </w:t>
      </w:r>
      <w:proofErr w:type="spellStart"/>
      <w:r>
        <w:t>and</w:t>
      </w:r>
      <w:proofErr w:type="spellEnd"/>
      <w:r>
        <w:t xml:space="preserve"> </w:t>
      </w:r>
      <w:proofErr w:type="spellStart"/>
      <w:r>
        <w:t>corrosion</w:t>
      </w:r>
      <w:proofErr w:type="spellEnd"/>
      <w:r>
        <w:t xml:space="preserve">. </w:t>
      </w:r>
      <w:proofErr w:type="spellStart"/>
      <w:r>
        <w:t>This</w:t>
      </w:r>
      <w:proofErr w:type="spellEnd"/>
      <w:r>
        <w:t xml:space="preserve"> </w:t>
      </w:r>
      <w:proofErr w:type="spellStart"/>
      <w:r>
        <w:t>is</w:t>
      </w:r>
      <w:proofErr w:type="spellEnd"/>
      <w:r>
        <w:t xml:space="preserve"> </w:t>
      </w:r>
      <w:proofErr w:type="spellStart"/>
      <w:r>
        <w:t>especially</w:t>
      </w:r>
      <w:proofErr w:type="spellEnd"/>
      <w:r>
        <w:t xml:space="preserve"> </w:t>
      </w:r>
      <w:proofErr w:type="spellStart"/>
      <w:r>
        <w:t>important</w:t>
      </w:r>
      <w:proofErr w:type="spellEnd"/>
      <w:r>
        <w:t xml:space="preserve"> </w:t>
      </w:r>
      <w:proofErr w:type="spellStart"/>
      <w:r>
        <w:t>with</w:t>
      </w:r>
      <w:proofErr w:type="spellEnd"/>
      <w:r>
        <w:t xml:space="preserve"> zinc-</w:t>
      </w:r>
      <w:proofErr w:type="spellStart"/>
      <w:r>
        <w:t>carbon</w:t>
      </w:r>
      <w:proofErr w:type="spellEnd"/>
      <w:r>
        <w:t xml:space="preserve"> </w:t>
      </w:r>
      <w:proofErr w:type="spellStart"/>
      <w:r>
        <w:t>primary</w:t>
      </w:r>
      <w:proofErr w:type="spellEnd"/>
      <w:r>
        <w:t xml:space="preserve"> </w:t>
      </w:r>
      <w:proofErr w:type="spellStart"/>
      <w:r>
        <w:t>cells</w:t>
      </w:r>
      <w:proofErr w:type="spellEnd"/>
      <w:r>
        <w:t>.</w:t>
      </w:r>
    </w:p>
    <w:p w:rsidR="00E9503B" w:rsidRDefault="00E9503B" w:rsidP="00E9503B">
      <w:pPr>
        <w:numPr>
          <w:ilvl w:val="0"/>
          <w:numId w:val="3"/>
        </w:numPr>
        <w:spacing w:before="100" w:beforeAutospacing="1" w:after="100" w:afterAutospacing="1"/>
      </w:pPr>
      <w:proofErr w:type="spellStart"/>
      <w:r>
        <w:t>Do</w:t>
      </w:r>
      <w:proofErr w:type="spellEnd"/>
      <w:r>
        <w:t xml:space="preserve"> </w:t>
      </w:r>
      <w:proofErr w:type="spellStart"/>
      <w:r>
        <w:t>not</w:t>
      </w:r>
      <w:proofErr w:type="spellEnd"/>
      <w:r>
        <w:t xml:space="preserve"> </w:t>
      </w:r>
      <w:proofErr w:type="spellStart"/>
      <w:r>
        <w:t>store</w:t>
      </w:r>
      <w:proofErr w:type="spellEnd"/>
      <w:r>
        <w:t xml:space="preserve"> </w:t>
      </w:r>
      <w:proofErr w:type="spellStart"/>
      <w:r>
        <w:t>loose</w:t>
      </w:r>
      <w:proofErr w:type="spellEnd"/>
      <w:r>
        <w:t xml:space="preserve"> </w:t>
      </w:r>
      <w:proofErr w:type="spellStart"/>
      <w:r>
        <w:t>cells</w:t>
      </w:r>
      <w:proofErr w:type="spellEnd"/>
      <w:r>
        <w:t xml:space="preserve"> </w:t>
      </w:r>
      <w:proofErr w:type="spellStart"/>
      <w:r>
        <w:t>in</w:t>
      </w:r>
      <w:proofErr w:type="spellEnd"/>
      <w:r>
        <w:t xml:space="preserve"> a </w:t>
      </w:r>
      <w:proofErr w:type="spellStart"/>
      <w:r>
        <w:t>metal</w:t>
      </w:r>
      <w:proofErr w:type="spellEnd"/>
      <w:r>
        <w:t xml:space="preserve"> </w:t>
      </w:r>
      <w:proofErr w:type="spellStart"/>
      <w:r>
        <w:t>box</w:t>
      </w:r>
      <w:proofErr w:type="spellEnd"/>
      <w:r>
        <w:t xml:space="preserve">. </w:t>
      </w:r>
      <w:proofErr w:type="spellStart"/>
      <w:r>
        <w:t>Place</w:t>
      </w:r>
      <w:proofErr w:type="spellEnd"/>
      <w:r>
        <w:t xml:space="preserve"> </w:t>
      </w:r>
      <w:proofErr w:type="spellStart"/>
      <w:r>
        <w:t>individual</w:t>
      </w:r>
      <w:proofErr w:type="spellEnd"/>
      <w:r>
        <w:t xml:space="preserve"> </w:t>
      </w:r>
      <w:proofErr w:type="spellStart"/>
      <w:r>
        <w:t>cells</w:t>
      </w:r>
      <w:proofErr w:type="spellEnd"/>
      <w:r>
        <w:t xml:space="preserve"> </w:t>
      </w:r>
      <w:proofErr w:type="spellStart"/>
      <w:r>
        <w:t>in</w:t>
      </w:r>
      <w:proofErr w:type="spellEnd"/>
      <w:r>
        <w:t xml:space="preserve"> </w:t>
      </w:r>
      <w:proofErr w:type="spellStart"/>
      <w:r>
        <w:t>small</w:t>
      </w:r>
      <w:proofErr w:type="spellEnd"/>
      <w:r>
        <w:t xml:space="preserve"> </w:t>
      </w:r>
      <w:proofErr w:type="spellStart"/>
      <w:r>
        <w:t>plastic</w:t>
      </w:r>
      <w:proofErr w:type="spellEnd"/>
      <w:r>
        <w:t xml:space="preserve"> </w:t>
      </w:r>
      <w:proofErr w:type="spellStart"/>
      <w:r>
        <w:t>bags</w:t>
      </w:r>
      <w:proofErr w:type="spellEnd"/>
      <w:r>
        <w:t xml:space="preserve"> </w:t>
      </w:r>
      <w:proofErr w:type="spellStart"/>
      <w:r>
        <w:t>to</w:t>
      </w:r>
      <w:proofErr w:type="spellEnd"/>
      <w:r>
        <w:t xml:space="preserve"> </w:t>
      </w:r>
      <w:proofErr w:type="spellStart"/>
      <w:r>
        <w:t>prevent</w:t>
      </w:r>
      <w:proofErr w:type="spellEnd"/>
      <w:r>
        <w:t xml:space="preserve"> </w:t>
      </w:r>
      <w:proofErr w:type="spellStart"/>
      <w:r>
        <w:t>an</w:t>
      </w:r>
      <w:proofErr w:type="spellEnd"/>
      <w:r>
        <w:t xml:space="preserve"> </w:t>
      </w:r>
      <w:proofErr w:type="spellStart"/>
      <w:r>
        <w:t>electrical</w:t>
      </w:r>
      <w:proofErr w:type="spellEnd"/>
      <w:r>
        <w:t xml:space="preserve"> </w:t>
      </w:r>
      <w:proofErr w:type="spellStart"/>
      <w:r>
        <w:t>short</w:t>
      </w:r>
      <w:proofErr w:type="spellEnd"/>
      <w:r>
        <w:t xml:space="preserve">. </w:t>
      </w:r>
      <w:proofErr w:type="spellStart"/>
      <w:r>
        <w:t>Do</w:t>
      </w:r>
      <w:proofErr w:type="spellEnd"/>
      <w:r>
        <w:t xml:space="preserve"> </w:t>
      </w:r>
      <w:proofErr w:type="spellStart"/>
      <w:r>
        <w:t>not</w:t>
      </w:r>
      <w:proofErr w:type="spellEnd"/>
      <w:r>
        <w:t xml:space="preserve"> </w:t>
      </w:r>
      <w:proofErr w:type="spellStart"/>
      <w:r>
        <w:t>carry</w:t>
      </w:r>
      <w:proofErr w:type="spellEnd"/>
      <w:r>
        <w:t xml:space="preserve"> </w:t>
      </w:r>
      <w:proofErr w:type="spellStart"/>
      <w:r>
        <w:t>loose</w:t>
      </w:r>
      <w:proofErr w:type="spellEnd"/>
      <w:r>
        <w:t xml:space="preserve"> </w:t>
      </w:r>
      <w:proofErr w:type="spellStart"/>
      <w:r>
        <w:t>cells</w:t>
      </w:r>
      <w:proofErr w:type="spellEnd"/>
      <w:r>
        <w:t xml:space="preserve"> </w:t>
      </w:r>
      <w:proofErr w:type="spellStart"/>
      <w:r>
        <w:t>in</w:t>
      </w:r>
      <w:proofErr w:type="spellEnd"/>
      <w:r>
        <w:t xml:space="preserve"> </w:t>
      </w:r>
      <w:proofErr w:type="spellStart"/>
      <w:r>
        <w:t>your</w:t>
      </w:r>
      <w:proofErr w:type="spellEnd"/>
      <w:r>
        <w:t xml:space="preserve"> </w:t>
      </w:r>
      <w:proofErr w:type="spellStart"/>
      <w:r>
        <w:t>pockets</w:t>
      </w:r>
      <w:proofErr w:type="spellEnd"/>
      <w:r>
        <w:t>.</w:t>
      </w:r>
    </w:p>
    <w:p w:rsidR="00E9503B" w:rsidRPr="00E9503B" w:rsidRDefault="00E9503B" w:rsidP="00E9503B">
      <w:pPr>
        <w:numPr>
          <w:ilvl w:val="0"/>
          <w:numId w:val="3"/>
        </w:numPr>
        <w:spacing w:before="100" w:beforeAutospacing="1" w:after="100" w:afterAutospacing="1"/>
      </w:pPr>
      <w:proofErr w:type="spellStart"/>
      <w:r>
        <w:t>Keep</w:t>
      </w:r>
      <w:proofErr w:type="spellEnd"/>
      <w:r>
        <w:t xml:space="preserve"> </w:t>
      </w:r>
      <w:proofErr w:type="spellStart"/>
      <w:r>
        <w:t>batteries</w:t>
      </w:r>
      <w:proofErr w:type="spellEnd"/>
      <w:r>
        <w:t xml:space="preserve"> </w:t>
      </w:r>
      <w:proofErr w:type="spellStart"/>
      <w:r>
        <w:t>away</w:t>
      </w:r>
      <w:proofErr w:type="spellEnd"/>
      <w:r>
        <w:t xml:space="preserve"> </w:t>
      </w:r>
      <w:proofErr w:type="spellStart"/>
      <w:r>
        <w:t>from</w:t>
      </w:r>
      <w:proofErr w:type="spellEnd"/>
      <w:r>
        <w:t xml:space="preserve"> </w:t>
      </w:r>
      <w:proofErr w:type="spellStart"/>
      <w:r>
        <w:t>small</w:t>
      </w:r>
      <w:proofErr w:type="spellEnd"/>
      <w:r>
        <w:t xml:space="preserve"> </w:t>
      </w:r>
      <w:proofErr w:type="spellStart"/>
      <w:r>
        <w:t>children</w:t>
      </w:r>
      <w:proofErr w:type="spellEnd"/>
      <w:r>
        <w:t xml:space="preserve">. </w:t>
      </w:r>
      <w:proofErr w:type="spellStart"/>
      <w:r>
        <w:t>In</w:t>
      </w:r>
      <w:proofErr w:type="spellEnd"/>
      <w:r>
        <w:t xml:space="preserve"> </w:t>
      </w:r>
      <w:proofErr w:type="spellStart"/>
      <w:r>
        <w:t>addition</w:t>
      </w:r>
      <w:proofErr w:type="spellEnd"/>
      <w:r>
        <w:t xml:space="preserve"> </w:t>
      </w:r>
      <w:proofErr w:type="spellStart"/>
      <w:r>
        <w:t>to</w:t>
      </w:r>
      <w:proofErr w:type="spellEnd"/>
      <w:r>
        <w:t xml:space="preserve"> </w:t>
      </w:r>
      <w:proofErr w:type="spellStart"/>
      <w:r>
        <w:t>being</w:t>
      </w:r>
      <w:proofErr w:type="spellEnd"/>
      <w:r>
        <w:t xml:space="preserve"> a </w:t>
      </w:r>
      <w:proofErr w:type="spellStart"/>
      <w:r>
        <w:t>choking</w:t>
      </w:r>
      <w:proofErr w:type="spellEnd"/>
      <w:r>
        <w:t xml:space="preserve"> </w:t>
      </w:r>
      <w:proofErr w:type="spellStart"/>
      <w:r>
        <w:t>hazard</w:t>
      </w:r>
      <w:proofErr w:type="spellEnd"/>
      <w:r>
        <w:t xml:space="preserve">, </w:t>
      </w:r>
      <w:proofErr w:type="spellStart"/>
      <w:r>
        <w:t>the</w:t>
      </w:r>
      <w:proofErr w:type="spellEnd"/>
      <w:r>
        <w:t xml:space="preserve"> current-flow </w:t>
      </w:r>
      <w:proofErr w:type="spellStart"/>
      <w:r>
        <w:t>of</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can</w:t>
      </w:r>
      <w:proofErr w:type="spellEnd"/>
      <w:r>
        <w:t xml:space="preserve"> </w:t>
      </w:r>
      <w:proofErr w:type="spellStart"/>
      <w:r>
        <w:t>ulcerate</w:t>
      </w:r>
      <w:proofErr w:type="spellEnd"/>
      <w:r>
        <w:t xml:space="preserve"> </w:t>
      </w:r>
      <w:proofErr w:type="spellStart"/>
      <w:r>
        <w:t>the</w:t>
      </w:r>
      <w:proofErr w:type="spellEnd"/>
      <w:r>
        <w:t xml:space="preserve"> </w:t>
      </w:r>
      <w:proofErr w:type="spellStart"/>
      <w:r>
        <w:t>stomach</w:t>
      </w:r>
      <w:proofErr w:type="spellEnd"/>
      <w:r>
        <w:t xml:space="preserve"> </w:t>
      </w:r>
      <w:proofErr w:type="spellStart"/>
      <w:r>
        <w:t>wall</w:t>
      </w:r>
      <w:proofErr w:type="spellEnd"/>
      <w:r>
        <w:t xml:space="preserve"> </w:t>
      </w:r>
      <w:proofErr w:type="spellStart"/>
      <w:r>
        <w:t>if</w:t>
      </w:r>
      <w:proofErr w:type="spellEnd"/>
      <w:r>
        <w:t xml:space="preserve"> </w:t>
      </w:r>
      <w:proofErr w:type="spellStart"/>
      <w:r>
        <w:t>swallowed</w:t>
      </w:r>
      <w:proofErr w:type="spellEnd"/>
      <w:r>
        <w:t xml:space="preserve">. </w:t>
      </w:r>
      <w:proofErr w:type="spellStart"/>
      <w:r>
        <w:t>The</w:t>
      </w:r>
      <w:proofErr w:type="spellEnd"/>
      <w:r>
        <w:t xml:space="preserve"> </w:t>
      </w:r>
      <w:proofErr w:type="spellStart"/>
      <w:r>
        <w:t>battery</w:t>
      </w:r>
      <w:proofErr w:type="spellEnd"/>
      <w:r>
        <w:t xml:space="preserve"> </w:t>
      </w:r>
      <w:proofErr w:type="spellStart"/>
      <w:r>
        <w:t>can</w:t>
      </w:r>
      <w:proofErr w:type="spellEnd"/>
      <w:r>
        <w:t xml:space="preserve"> </w:t>
      </w:r>
      <w:proofErr w:type="spellStart"/>
      <w:r>
        <w:t>also</w:t>
      </w:r>
      <w:proofErr w:type="spellEnd"/>
      <w:r>
        <w:t xml:space="preserve"> </w:t>
      </w:r>
      <w:proofErr w:type="spellStart"/>
      <w:r>
        <w:t>rupture</w:t>
      </w:r>
      <w:proofErr w:type="spellEnd"/>
      <w:r>
        <w:t xml:space="preserve"> </w:t>
      </w:r>
      <w:proofErr w:type="spellStart"/>
      <w:r>
        <w:t>and</w:t>
      </w:r>
      <w:proofErr w:type="spellEnd"/>
      <w:r>
        <w:t xml:space="preserve"> </w:t>
      </w:r>
      <w:proofErr w:type="spellStart"/>
      <w:r>
        <w:t>cause</w:t>
      </w:r>
      <w:proofErr w:type="spellEnd"/>
      <w:r>
        <w:t xml:space="preserve"> </w:t>
      </w:r>
      <w:proofErr w:type="spellStart"/>
      <w:r>
        <w:t>poisoning</w:t>
      </w:r>
      <w:proofErr w:type="spellEnd"/>
      <w:r>
        <w:t xml:space="preserve">. </w:t>
      </w:r>
    </w:p>
    <w:p w:rsidR="00E9503B" w:rsidRDefault="00E9503B" w:rsidP="00E9503B">
      <w:pPr>
        <w:numPr>
          <w:ilvl w:val="0"/>
          <w:numId w:val="3"/>
        </w:numPr>
        <w:spacing w:before="100" w:beforeAutospacing="1" w:after="100" w:afterAutospacing="1"/>
      </w:pPr>
      <w:proofErr w:type="spellStart"/>
      <w:r>
        <w:t>Do</w:t>
      </w:r>
      <w:proofErr w:type="spellEnd"/>
      <w:r>
        <w:t xml:space="preserve"> </w:t>
      </w:r>
      <w:proofErr w:type="spellStart"/>
      <w:r>
        <w:t>not</w:t>
      </w:r>
      <w:proofErr w:type="spellEnd"/>
      <w:r>
        <w:t xml:space="preserve"> </w:t>
      </w:r>
      <w:proofErr w:type="spellStart"/>
      <w:r>
        <w:t>recharge</w:t>
      </w:r>
      <w:proofErr w:type="spellEnd"/>
      <w:r>
        <w:t xml:space="preserve"> non-</w:t>
      </w:r>
      <w:proofErr w:type="spellStart"/>
      <w:r>
        <w:t>rechargeable</w:t>
      </w:r>
      <w:proofErr w:type="spellEnd"/>
      <w:r>
        <w:t xml:space="preserve"> </w:t>
      </w:r>
      <w:proofErr w:type="spellStart"/>
      <w:r>
        <w:t>batteries</w:t>
      </w:r>
      <w:proofErr w:type="spellEnd"/>
      <w:r>
        <w:t xml:space="preserve">; </w:t>
      </w:r>
      <w:proofErr w:type="spellStart"/>
      <w:r>
        <w:t>hydrogen</w:t>
      </w:r>
      <w:proofErr w:type="spellEnd"/>
      <w:r>
        <w:t xml:space="preserve"> </w:t>
      </w:r>
      <w:proofErr w:type="spellStart"/>
      <w:r>
        <w:t>buildup</w:t>
      </w:r>
      <w:proofErr w:type="spellEnd"/>
      <w:r>
        <w:t xml:space="preserve"> </w:t>
      </w:r>
      <w:proofErr w:type="spellStart"/>
      <w:r>
        <w:t>can</w:t>
      </w:r>
      <w:proofErr w:type="spellEnd"/>
      <w:r>
        <w:t xml:space="preserve"> </w:t>
      </w:r>
      <w:proofErr w:type="spellStart"/>
      <w:r>
        <w:t>lead</w:t>
      </w:r>
      <w:proofErr w:type="spellEnd"/>
      <w:r>
        <w:t xml:space="preserve"> </w:t>
      </w:r>
      <w:proofErr w:type="spellStart"/>
      <w:r>
        <w:t>to</w:t>
      </w:r>
      <w:proofErr w:type="spellEnd"/>
      <w:r>
        <w:t xml:space="preserve"> </w:t>
      </w:r>
      <w:proofErr w:type="spellStart"/>
      <w:r>
        <w:t>an</w:t>
      </w:r>
      <w:proofErr w:type="spellEnd"/>
      <w:r>
        <w:t xml:space="preserve"> </w:t>
      </w:r>
      <w:proofErr w:type="spellStart"/>
      <w:r>
        <w:t>explosion</w:t>
      </w:r>
      <w:proofErr w:type="spellEnd"/>
      <w:r>
        <w:t xml:space="preserve">. </w:t>
      </w:r>
      <w:proofErr w:type="spellStart"/>
      <w:r>
        <w:t>Perform</w:t>
      </w:r>
      <w:proofErr w:type="spellEnd"/>
      <w:r>
        <w:t xml:space="preserve"> </w:t>
      </w:r>
      <w:proofErr w:type="spellStart"/>
      <w:r>
        <w:t>experimental</w:t>
      </w:r>
      <w:proofErr w:type="spellEnd"/>
      <w:r>
        <w:t xml:space="preserve"> </w:t>
      </w:r>
      <w:proofErr w:type="spellStart"/>
      <w:r>
        <w:t>charging</w:t>
      </w:r>
      <w:proofErr w:type="spellEnd"/>
      <w:r>
        <w:t xml:space="preserve"> </w:t>
      </w:r>
      <w:proofErr w:type="spellStart"/>
      <w:r>
        <w:t>only</w:t>
      </w:r>
      <w:proofErr w:type="spellEnd"/>
      <w:r>
        <w:t xml:space="preserve"> </w:t>
      </w:r>
      <w:proofErr w:type="spellStart"/>
      <w:r>
        <w:t>under</w:t>
      </w:r>
      <w:proofErr w:type="spellEnd"/>
      <w:r>
        <w:t xml:space="preserve"> </w:t>
      </w:r>
      <w:proofErr w:type="spellStart"/>
      <w:r>
        <w:t>supervision</w:t>
      </w:r>
      <w:proofErr w:type="spellEnd"/>
      <w:r>
        <w:t>.</w:t>
      </w:r>
    </w:p>
    <w:p w:rsidR="00E9503B" w:rsidRPr="00E9503B" w:rsidRDefault="00E9503B" w:rsidP="00E9503B">
      <w:pPr>
        <w:pStyle w:val="2"/>
        <w:rPr>
          <w:lang w:val="en-US"/>
        </w:rPr>
      </w:pPr>
      <w:r w:rsidRPr="00E9503B">
        <w:rPr>
          <w:lang w:val="en-US"/>
        </w:rPr>
        <w:br/>
        <w:t>Simple Guidelines for Using Secondary Batteries</w:t>
      </w:r>
    </w:p>
    <w:p w:rsidR="00E9503B" w:rsidRDefault="00E9503B" w:rsidP="00E9503B">
      <w:pPr>
        <w:numPr>
          <w:ilvl w:val="0"/>
          <w:numId w:val="4"/>
        </w:numPr>
        <w:spacing w:before="100" w:beforeAutospacing="1" w:after="100" w:afterAutospacing="1"/>
      </w:pPr>
      <w:proofErr w:type="spellStart"/>
      <w:r>
        <w:t>Observe</w:t>
      </w:r>
      <w:proofErr w:type="spellEnd"/>
      <w:r>
        <w:t xml:space="preserve"> </w:t>
      </w:r>
      <w:proofErr w:type="spellStart"/>
      <w:r>
        <w:t>polarity</w:t>
      </w:r>
      <w:proofErr w:type="spellEnd"/>
      <w:r>
        <w:t xml:space="preserve"> </w:t>
      </w:r>
      <w:proofErr w:type="spellStart"/>
      <w:r>
        <w:t>when</w:t>
      </w:r>
      <w:proofErr w:type="spellEnd"/>
      <w:r>
        <w:t xml:space="preserve"> </w:t>
      </w:r>
      <w:proofErr w:type="spellStart"/>
      <w:r>
        <w:t>charging</w:t>
      </w:r>
      <w:proofErr w:type="spellEnd"/>
      <w:r>
        <w:t xml:space="preserve"> a </w:t>
      </w:r>
      <w:proofErr w:type="spellStart"/>
      <w:r>
        <w:t>secondary</w:t>
      </w:r>
      <w:proofErr w:type="spellEnd"/>
      <w:r>
        <w:t xml:space="preserve"> </w:t>
      </w:r>
      <w:proofErr w:type="spellStart"/>
      <w:r>
        <w:t>cell</w:t>
      </w:r>
      <w:proofErr w:type="spellEnd"/>
      <w:r>
        <w:t xml:space="preserve">. </w:t>
      </w:r>
      <w:proofErr w:type="spellStart"/>
      <w:r>
        <w:t>Reversed</w:t>
      </w:r>
      <w:proofErr w:type="spellEnd"/>
      <w:r>
        <w:t xml:space="preserve"> </w:t>
      </w:r>
      <w:proofErr w:type="spellStart"/>
      <w:r>
        <w:t>polarity</w:t>
      </w:r>
      <w:proofErr w:type="spellEnd"/>
      <w:r>
        <w:t xml:space="preserve"> </w:t>
      </w:r>
      <w:proofErr w:type="spellStart"/>
      <w:r>
        <w:t>can</w:t>
      </w:r>
      <w:proofErr w:type="spellEnd"/>
      <w:r>
        <w:t xml:space="preserve"> </w:t>
      </w:r>
      <w:proofErr w:type="spellStart"/>
      <w:r>
        <w:t>cause</w:t>
      </w:r>
      <w:proofErr w:type="spellEnd"/>
      <w:r>
        <w:t xml:space="preserve"> </w:t>
      </w:r>
      <w:proofErr w:type="spellStart"/>
      <w:r>
        <w:t>an</w:t>
      </w:r>
      <w:proofErr w:type="spellEnd"/>
      <w:r>
        <w:t xml:space="preserve"> </w:t>
      </w:r>
      <w:proofErr w:type="spellStart"/>
      <w:r>
        <w:t>electrical</w:t>
      </w:r>
      <w:proofErr w:type="spellEnd"/>
      <w:r>
        <w:t xml:space="preserve"> </w:t>
      </w:r>
      <w:proofErr w:type="spellStart"/>
      <w:r>
        <w:t>short</w:t>
      </w:r>
      <w:proofErr w:type="spellEnd"/>
      <w:r>
        <w:t xml:space="preserve">, </w:t>
      </w:r>
      <w:proofErr w:type="spellStart"/>
      <w:r>
        <w:t>leading</w:t>
      </w:r>
      <w:proofErr w:type="spellEnd"/>
      <w:r>
        <w:t xml:space="preserve"> </w:t>
      </w:r>
      <w:proofErr w:type="spellStart"/>
      <w:r>
        <w:t>to</w:t>
      </w:r>
      <w:proofErr w:type="spellEnd"/>
      <w:r>
        <w:t xml:space="preserve"> a </w:t>
      </w:r>
      <w:proofErr w:type="spellStart"/>
      <w:r>
        <w:t>hazardous</w:t>
      </w:r>
      <w:proofErr w:type="spellEnd"/>
      <w:r>
        <w:t xml:space="preserve"> </w:t>
      </w:r>
      <w:proofErr w:type="spellStart"/>
      <w:r>
        <w:t>condition</w:t>
      </w:r>
      <w:proofErr w:type="spellEnd"/>
      <w:r>
        <w:t>.</w:t>
      </w:r>
    </w:p>
    <w:p w:rsidR="00E9503B" w:rsidRDefault="00E9503B" w:rsidP="00E9503B">
      <w:pPr>
        <w:numPr>
          <w:ilvl w:val="0"/>
          <w:numId w:val="4"/>
        </w:numPr>
        <w:spacing w:before="100" w:beforeAutospacing="1" w:after="100" w:afterAutospacing="1"/>
      </w:pPr>
      <w:proofErr w:type="spellStart"/>
      <w:r>
        <w:lastRenderedPageBreak/>
        <w:t>Remove</w:t>
      </w:r>
      <w:proofErr w:type="spellEnd"/>
      <w:r>
        <w:t xml:space="preserve"> </w:t>
      </w:r>
      <w:proofErr w:type="spellStart"/>
      <w:r>
        <w:t>fully</w:t>
      </w:r>
      <w:proofErr w:type="spellEnd"/>
      <w:r>
        <w:t xml:space="preserve"> </w:t>
      </w:r>
      <w:proofErr w:type="spellStart"/>
      <w:r>
        <w:t>charged</w:t>
      </w:r>
      <w:proofErr w:type="spellEnd"/>
      <w:r>
        <w:t xml:space="preserve"> </w:t>
      </w:r>
      <w:proofErr w:type="spellStart"/>
      <w:r>
        <w:t>batteries</w:t>
      </w:r>
      <w:proofErr w:type="spellEnd"/>
      <w:r>
        <w:t xml:space="preserve"> </w:t>
      </w:r>
      <w:proofErr w:type="spellStart"/>
      <w:r>
        <w:t>from</w:t>
      </w:r>
      <w:proofErr w:type="spellEnd"/>
      <w:r>
        <w:t xml:space="preserve"> </w:t>
      </w:r>
      <w:proofErr w:type="spellStart"/>
      <w:r>
        <w:t>the</w:t>
      </w:r>
      <w:proofErr w:type="spellEnd"/>
      <w:r>
        <w:t xml:space="preserve"> </w:t>
      </w:r>
      <w:proofErr w:type="spellStart"/>
      <w:r>
        <w:t>charger</w:t>
      </w:r>
      <w:proofErr w:type="spellEnd"/>
      <w:r>
        <w:t xml:space="preserve">. A </w:t>
      </w:r>
      <w:proofErr w:type="spellStart"/>
      <w:r>
        <w:t>consumer</w:t>
      </w:r>
      <w:proofErr w:type="spellEnd"/>
      <w:r>
        <w:t xml:space="preserve"> </w:t>
      </w:r>
      <w:proofErr w:type="spellStart"/>
      <w:r>
        <w:t>charger</w:t>
      </w:r>
      <w:proofErr w:type="spellEnd"/>
      <w:r>
        <w:t xml:space="preserve"> </w:t>
      </w:r>
      <w:proofErr w:type="spellStart"/>
      <w:r>
        <w:t>may</w:t>
      </w:r>
      <w:proofErr w:type="spellEnd"/>
      <w:r>
        <w:t xml:space="preserve"> </w:t>
      </w:r>
      <w:proofErr w:type="spellStart"/>
      <w:r>
        <w:t>not</w:t>
      </w:r>
      <w:proofErr w:type="spellEnd"/>
      <w:r>
        <w:t xml:space="preserve"> </w:t>
      </w:r>
      <w:proofErr w:type="spellStart"/>
      <w:r>
        <w:t>apply</w:t>
      </w:r>
      <w:proofErr w:type="spellEnd"/>
      <w:r>
        <w:t xml:space="preserve"> </w:t>
      </w:r>
      <w:proofErr w:type="spellStart"/>
      <w:r>
        <w:t>the</w:t>
      </w:r>
      <w:proofErr w:type="spellEnd"/>
      <w:r>
        <w:t xml:space="preserve"> </w:t>
      </w:r>
      <w:proofErr w:type="spellStart"/>
      <w:r>
        <w:t>correct</w:t>
      </w:r>
      <w:proofErr w:type="spellEnd"/>
      <w:r>
        <w:t xml:space="preserve"> </w:t>
      </w:r>
      <w:proofErr w:type="spellStart"/>
      <w:r>
        <w:t>trickle</w:t>
      </w:r>
      <w:proofErr w:type="spellEnd"/>
      <w:r>
        <w:t xml:space="preserve"> </w:t>
      </w:r>
      <w:proofErr w:type="spellStart"/>
      <w:r>
        <w:t>charge</w:t>
      </w:r>
      <w:proofErr w:type="spellEnd"/>
      <w:r>
        <w:t xml:space="preserve"> </w:t>
      </w:r>
      <w:proofErr w:type="spellStart"/>
      <w:r>
        <w:t>when</w:t>
      </w:r>
      <w:proofErr w:type="spellEnd"/>
      <w:r>
        <w:t xml:space="preserve"> </w:t>
      </w:r>
      <w:proofErr w:type="spellStart"/>
      <w:r>
        <w:t>fully</w:t>
      </w:r>
      <w:proofErr w:type="spellEnd"/>
      <w:r>
        <w:t xml:space="preserve"> </w:t>
      </w:r>
      <w:proofErr w:type="spellStart"/>
      <w:r>
        <w:t>charged</w:t>
      </w:r>
      <w:proofErr w:type="spellEnd"/>
      <w:r>
        <w:t xml:space="preserve"> </w:t>
      </w:r>
      <w:proofErr w:type="spellStart"/>
      <w:r>
        <w:t>and</w:t>
      </w:r>
      <w:proofErr w:type="spellEnd"/>
      <w:r>
        <w:t xml:space="preserve"> </w:t>
      </w:r>
      <w:proofErr w:type="spellStart"/>
      <w:r>
        <w:t>the</w:t>
      </w:r>
      <w:proofErr w:type="spellEnd"/>
      <w:r>
        <w:t xml:space="preserve"> </w:t>
      </w:r>
      <w:proofErr w:type="spellStart"/>
      <w:r>
        <w:t>cell</w:t>
      </w:r>
      <w:proofErr w:type="spellEnd"/>
      <w:r>
        <w:t xml:space="preserve"> </w:t>
      </w:r>
      <w:proofErr w:type="spellStart"/>
      <w:r>
        <w:t>can</w:t>
      </w:r>
      <w:proofErr w:type="spellEnd"/>
      <w:r>
        <w:t xml:space="preserve"> </w:t>
      </w:r>
      <w:proofErr w:type="spellStart"/>
      <w:r>
        <w:t>overheat</w:t>
      </w:r>
      <w:proofErr w:type="spellEnd"/>
      <w:r>
        <w:t>.</w:t>
      </w:r>
    </w:p>
    <w:p w:rsidR="00E9503B" w:rsidRDefault="00E9503B" w:rsidP="00E9503B">
      <w:pPr>
        <w:numPr>
          <w:ilvl w:val="0"/>
          <w:numId w:val="4"/>
        </w:numPr>
        <w:spacing w:before="100" w:beforeAutospacing="1" w:after="100" w:afterAutospacing="1"/>
      </w:pPr>
      <w:proofErr w:type="spellStart"/>
      <w:r>
        <w:t>Charge</w:t>
      </w:r>
      <w:proofErr w:type="spellEnd"/>
      <w:r>
        <w:t xml:space="preserve"> </w:t>
      </w:r>
      <w:proofErr w:type="spellStart"/>
      <w:r>
        <w:t>only</w:t>
      </w:r>
      <w:proofErr w:type="spellEnd"/>
      <w:r>
        <w:t xml:space="preserve"> </w:t>
      </w:r>
      <w:proofErr w:type="spellStart"/>
      <w:r>
        <w:t>at</w:t>
      </w:r>
      <w:proofErr w:type="spellEnd"/>
      <w:r>
        <w:t xml:space="preserve"> </w:t>
      </w:r>
      <w:proofErr w:type="spellStart"/>
      <w:r>
        <w:t>room</w:t>
      </w:r>
      <w:proofErr w:type="spellEnd"/>
      <w:r>
        <w:t xml:space="preserve"> </w:t>
      </w:r>
      <w:proofErr w:type="spellStart"/>
      <w:r>
        <w:t>temperature</w:t>
      </w:r>
      <w:proofErr w:type="spellEnd"/>
      <w:r>
        <w:t>.</w:t>
      </w:r>
    </w:p>
    <w:p w:rsidR="00E9503B" w:rsidRDefault="00E9503B" w:rsidP="00E9503B">
      <w:pPr>
        <w:pStyle w:val="a3"/>
      </w:pPr>
      <w:proofErr w:type="spellStart"/>
      <w:r>
        <w:t>Last</w:t>
      </w:r>
      <w:proofErr w:type="spellEnd"/>
      <w:r>
        <w:t xml:space="preserve"> </w:t>
      </w:r>
      <w:proofErr w:type="spellStart"/>
      <w:r>
        <w:t>updated</w:t>
      </w:r>
      <w:proofErr w:type="spellEnd"/>
      <w:r>
        <w:t xml:space="preserve"> 2017-07-31</w:t>
      </w:r>
    </w:p>
    <w:p w:rsidR="00E9503B" w:rsidRPr="00E9503B" w:rsidRDefault="00E9503B">
      <w:pPr>
        <w:rPr>
          <w:lang w:val="ru-RU"/>
        </w:rPr>
      </w:pPr>
    </w:p>
    <w:sectPr w:rsidR="00E9503B" w:rsidRPr="00E9503B"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10F44"/>
    <w:multiLevelType w:val="multilevel"/>
    <w:tmpl w:val="88B0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C14D0"/>
    <w:multiLevelType w:val="multilevel"/>
    <w:tmpl w:val="2E68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E0267F"/>
    <w:multiLevelType w:val="multilevel"/>
    <w:tmpl w:val="2558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513E0A"/>
    <w:multiLevelType w:val="multilevel"/>
    <w:tmpl w:val="6DE6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6E59C4"/>
    <w:rsid w:val="00105458"/>
    <w:rsid w:val="001A6DBB"/>
    <w:rsid w:val="00200C7C"/>
    <w:rsid w:val="004C01C6"/>
    <w:rsid w:val="006E59C4"/>
    <w:rsid w:val="006F3ADD"/>
    <w:rsid w:val="008C56BE"/>
    <w:rsid w:val="00B147DC"/>
    <w:rsid w:val="00B150B6"/>
    <w:rsid w:val="00C00D71"/>
    <w:rsid w:val="00C155AF"/>
    <w:rsid w:val="00C85CD0"/>
    <w:rsid w:val="00CA06FB"/>
    <w:rsid w:val="00CF47B2"/>
    <w:rsid w:val="00D06711"/>
    <w:rsid w:val="00D4651B"/>
    <w:rsid w:val="00E9503B"/>
    <w:rsid w:val="00ED075D"/>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6E59C4"/>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6E59C4"/>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59C4"/>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6E59C4"/>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6E59C4"/>
  </w:style>
  <w:style w:type="paragraph" w:styleId="a3">
    <w:name w:val="Normal (Web)"/>
    <w:basedOn w:val="a"/>
    <w:uiPriority w:val="99"/>
    <w:unhideWhenUsed/>
    <w:rsid w:val="006E59C4"/>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Hyperlink"/>
    <w:basedOn w:val="a0"/>
    <w:uiPriority w:val="99"/>
    <w:semiHidden/>
    <w:unhideWhenUsed/>
    <w:rsid w:val="006E59C4"/>
    <w:rPr>
      <w:color w:val="0000FF"/>
      <w:u w:val="single"/>
    </w:rPr>
  </w:style>
  <w:style w:type="character" w:styleId="a5">
    <w:name w:val="Strong"/>
    <w:basedOn w:val="a0"/>
    <w:uiPriority w:val="22"/>
    <w:qFormat/>
    <w:rsid w:val="006E59C4"/>
    <w:rPr>
      <w:b/>
      <w:bCs/>
    </w:rPr>
  </w:style>
  <w:style w:type="paragraph" w:styleId="a6">
    <w:name w:val="Balloon Text"/>
    <w:basedOn w:val="a"/>
    <w:link w:val="a7"/>
    <w:uiPriority w:val="99"/>
    <w:semiHidden/>
    <w:unhideWhenUsed/>
    <w:rsid w:val="006E59C4"/>
    <w:rPr>
      <w:rFonts w:ascii="Tahoma" w:hAnsi="Tahoma" w:cs="Tahoma"/>
      <w:sz w:val="16"/>
      <w:szCs w:val="16"/>
    </w:rPr>
  </w:style>
  <w:style w:type="character" w:customStyle="1" w:styleId="a7">
    <w:name w:val="Текст выноски Знак"/>
    <w:basedOn w:val="a0"/>
    <w:link w:val="a6"/>
    <w:uiPriority w:val="99"/>
    <w:semiHidden/>
    <w:rsid w:val="006E59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092062">
      <w:bodyDiv w:val="1"/>
      <w:marLeft w:val="0"/>
      <w:marRight w:val="0"/>
      <w:marTop w:val="0"/>
      <w:marBottom w:val="0"/>
      <w:divBdr>
        <w:top w:val="none" w:sz="0" w:space="0" w:color="auto"/>
        <w:left w:val="none" w:sz="0" w:space="0" w:color="auto"/>
        <w:bottom w:val="none" w:sz="0" w:space="0" w:color="auto"/>
        <w:right w:val="none" w:sz="0" w:space="0" w:color="auto"/>
      </w:divBdr>
    </w:div>
    <w:div w:id="209802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4006</Words>
  <Characters>22839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2017-11-15T17:56:00Z</dcterms:created>
  <dcterms:modified xsi:type="dcterms:W3CDTF">2017-11-16T19:34:00Z</dcterms:modified>
</cp:coreProperties>
</file>