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588" w:rsidRPr="00354302" w:rsidRDefault="00425588" w:rsidP="00425588">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A06BFC" w:rsidRPr="00A06BFC" w:rsidRDefault="00A06BFC" w:rsidP="00A06BFC">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A06BFC">
        <w:rPr>
          <w:rFonts w:ascii="Times New Roman" w:eastAsia="Times New Roman" w:hAnsi="Times New Roman" w:cs="Times New Roman"/>
          <w:b/>
          <w:bCs/>
          <w:kern w:val="36"/>
          <w:sz w:val="48"/>
          <w:szCs w:val="48"/>
          <w:lang w:val="ru-RU" w:eastAsia="ru-RU"/>
        </w:rPr>
        <w:t xml:space="preserve"> Сопряжение и балансировка ячеек </w:t>
      </w:r>
    </w:p>
    <w:p w:rsidR="00A06BFC" w:rsidRPr="00A06BFC" w:rsidRDefault="00A06BFC" w:rsidP="00A06BFC">
      <w:pPr>
        <w:spacing w:before="100" w:beforeAutospacing="1" w:after="100" w:afterAutospacing="1"/>
        <w:ind w:left="0" w:firstLine="0"/>
        <w:rPr>
          <w:rFonts w:ascii="Times New Roman" w:eastAsia="Times New Roman" w:hAnsi="Times New Roman" w:cs="Times New Roman"/>
          <w:sz w:val="24"/>
          <w:szCs w:val="24"/>
          <w:lang w:val="ru-RU" w:eastAsia="ru-RU"/>
        </w:rPr>
      </w:pPr>
      <w:r w:rsidRPr="00A06BFC">
        <w:rPr>
          <w:rFonts w:ascii="Times New Roman" w:eastAsia="Times New Roman" w:hAnsi="Times New Roman" w:cs="Times New Roman"/>
          <w:b/>
          <w:bCs/>
          <w:sz w:val="24"/>
          <w:szCs w:val="24"/>
          <w:lang w:val="ru-RU" w:eastAsia="ru-RU"/>
        </w:rPr>
        <w:t>Узнайте, что качественные ячейки - лучшая основа для длительного аккумулятора</w:t>
      </w:r>
      <w:r w:rsidRPr="00A06BFC">
        <w:rPr>
          <w:rFonts w:ascii="Times New Roman" w:eastAsia="Times New Roman" w:hAnsi="Times New Roman" w:cs="Times New Roman"/>
          <w:sz w:val="24"/>
          <w:szCs w:val="24"/>
          <w:lang w:val="ru-RU" w:eastAsia="ru-RU"/>
        </w:rPr>
        <w:t xml:space="preserve">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Производитель не может предсказать точную емкость, когда ячейка сходит с производственной линии, и это особенно актуально для свинцово-кислотных и других батарей, которые связаны с ручной сборкой. Даже полностью автоматизированное производство ячеек в чистых помещениях вызывает различия в производительности. В рамках контроля качества каждая ячейка измеряется и разделяется на категории в соответствии с их уровнями мощности. Высокопроизводительные </w:t>
      </w:r>
      <w:proofErr w:type="spellStart"/>
      <w:r w:rsidRPr="00A06BFC">
        <w:rPr>
          <w:rFonts w:ascii="Times New Roman" w:eastAsia="Times New Roman" w:hAnsi="Times New Roman" w:cs="Times New Roman"/>
          <w:sz w:val="24"/>
          <w:szCs w:val="24"/>
          <w:lang w:val="ru-RU" w:eastAsia="ru-RU"/>
        </w:rPr>
        <w:t>NiMH</w:t>
      </w:r>
      <w:proofErr w:type="spellEnd"/>
      <w:r w:rsidRPr="00A06BFC">
        <w:rPr>
          <w:rFonts w:ascii="Times New Roman" w:eastAsia="Times New Roman" w:hAnsi="Times New Roman" w:cs="Times New Roman"/>
          <w:sz w:val="24"/>
          <w:szCs w:val="24"/>
          <w:lang w:val="ru-RU" w:eastAsia="ru-RU"/>
        </w:rPr>
        <w:t xml:space="preserve"> и другие ячейки могут быть зарезервированы для специальных применений и продаваться по высоким ценам; большой средний диапазон будет идти на коммерческие и промышленные рынки; и низкосортные ячейки могут оказаться в потребительском продукте или в универмаге. Велоспорт не будет существенно улучшать пропускную способность ячейки низкого класса, и покупатель должен знать различия в качестве и качестве, что часто приводит к ожидаемой продолжительности жизни.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Сопряжение ячейки в соответствии с мощностью важно, особенно для промышленных батарей, и идеальное совпадение невозможно. Если они слегка отключаются, ячейки на основе никеля приспосабливаются друг к другу после нескольких циклов зарядки / разрядки, похожих на игроков в выигрышной спортивной команде. Высококачественные камеры продолжают работать дольше, чем более качественные аналоги, а замирание более равномерное и контролируемое. С другой стороны, клетки более низкого класса расходятся быстрее с использованием и временем, а сбои из-за рассогласования клеток более широко распространены. Рассогласование ячеек является общей причиной отказа промышленных батарей. Производители профессиональных электроинструментов и медицинского оборудования тщательно выбирают ячейки для достижения надежной надежности и долговечности аккумулятора.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Давайте посмотрим, что происходит со слабой ячейкой, которая увязана с более сильными ячейками в пакете. Слабая ячейка обладает меньшей емкостью и разряжается быстрее, чем их сильные братья. Вначале пустые первые заставляют своих сильных братьев переполнять своих слабых братьев до такой степени, что высокая нагрузка может подтолкнуть слабую ячейку к обратной полярности. Никель-кадмий может выдерживать обратное напряжение минус 0,2</w:t>
      </w:r>
      <w:proofErr w:type="gramStart"/>
      <w:r w:rsidRPr="00A06BFC">
        <w:rPr>
          <w:rFonts w:ascii="Times New Roman" w:eastAsia="Times New Roman" w:hAnsi="Times New Roman" w:cs="Times New Roman"/>
          <w:sz w:val="24"/>
          <w:szCs w:val="24"/>
          <w:lang w:val="ru-RU" w:eastAsia="ru-RU"/>
        </w:rPr>
        <w:t xml:space="preserve"> В</w:t>
      </w:r>
      <w:proofErr w:type="gramEnd"/>
      <w:r w:rsidRPr="00A06BFC">
        <w:rPr>
          <w:rFonts w:ascii="Times New Roman" w:eastAsia="Times New Roman" w:hAnsi="Times New Roman" w:cs="Times New Roman"/>
          <w:sz w:val="24"/>
          <w:szCs w:val="24"/>
          <w:lang w:val="ru-RU" w:eastAsia="ru-RU"/>
        </w:rPr>
        <w:t xml:space="preserve"> на нескольких миллиамперах, но превышение этого приведет к постоянному электрическому короткому замыканию. При зарядке слабая ячейка сначала получает полный заряд, а затем переходит в тепловыделение, а сильные братья по-прежнему принимают заряд и остаются прохладными. Слабая ячейка испытывает недостаток как заряда, так и разряда; он продолжает ослабевать, пока не прекратит борьбу.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Допуск емкости между ячейками в промышленной батарее должен составлять +/- 2,5 процента. Высоковольтные упаковки, предназначенные для тяжелых нагрузок и широкого диапазона температур, должны еще больше снизить допуск мощности. Существует сильная корреляция между балансом клеток и долговечностью.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На рисунке 1 показана эффективность </w:t>
      </w:r>
      <w:proofErr w:type="spellStart"/>
      <w:r w:rsidRPr="00A06BFC">
        <w:rPr>
          <w:rFonts w:ascii="Times New Roman" w:eastAsia="Times New Roman" w:hAnsi="Times New Roman" w:cs="Times New Roman"/>
          <w:sz w:val="24"/>
          <w:szCs w:val="24"/>
          <w:lang w:val="ru-RU" w:eastAsia="ru-RU"/>
        </w:rPr>
        <w:t>циклирования</w:t>
      </w:r>
      <w:proofErr w:type="spellEnd"/>
      <w:r w:rsidRPr="00A06BFC">
        <w:rPr>
          <w:rFonts w:ascii="Times New Roman" w:eastAsia="Times New Roman" w:hAnsi="Times New Roman" w:cs="Times New Roman"/>
          <w:sz w:val="24"/>
          <w:szCs w:val="24"/>
          <w:lang w:val="ru-RU" w:eastAsia="ru-RU"/>
        </w:rPr>
        <w:t xml:space="preserve"> пяти старых </w:t>
      </w:r>
      <w:proofErr w:type="spellStart"/>
      <w:proofErr w:type="gramStart"/>
      <w:r w:rsidRPr="00A06BFC">
        <w:rPr>
          <w:rFonts w:ascii="Times New Roman" w:eastAsia="Times New Roman" w:hAnsi="Times New Roman" w:cs="Times New Roman"/>
          <w:sz w:val="24"/>
          <w:szCs w:val="24"/>
          <w:lang w:val="ru-RU" w:eastAsia="ru-RU"/>
        </w:rPr>
        <w:t>литий-ионных</w:t>
      </w:r>
      <w:proofErr w:type="spellEnd"/>
      <w:proofErr w:type="gramEnd"/>
      <w:r w:rsidRPr="00A06BFC">
        <w:rPr>
          <w:rFonts w:ascii="Times New Roman" w:eastAsia="Times New Roman" w:hAnsi="Times New Roman" w:cs="Times New Roman"/>
          <w:sz w:val="24"/>
          <w:szCs w:val="24"/>
          <w:lang w:val="ru-RU" w:eastAsia="ru-RU"/>
        </w:rPr>
        <w:t xml:space="preserve"> пакетов в зависимости от соответствия клеток. Ячейки подключены в устройстве 2P4S с центральным краном, образуя две секции батареи, которые в нашем примере плохо согласованы. Разница в емкости между двумя разделами составляет 5, 6, 7 и 12 процентов. При циклическом режиме все батареи показывают большие потери мощности в течение 18 циклов, но наибольшее снижение наблюдается при наличии несоответствия емкости на 12 процентов. </w:t>
      </w:r>
    </w:p>
    <w:p w:rsidR="00AA1CC7" w:rsidRDefault="00A06BFC" w:rsidP="00A06BFC">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933825"/>
            <wp:effectExtent l="19050" t="0" r="0" b="0"/>
            <wp:docPr id="1" name="Рисунок 1" descr="Сотовый балан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товый баланс"/>
                    <pic:cNvPicPr>
                      <a:picLocks noChangeAspect="1" noChangeArrowheads="1"/>
                    </pic:cNvPicPr>
                  </pic:nvPicPr>
                  <pic:blipFill>
                    <a:blip r:embed="rId4"/>
                    <a:srcRect/>
                    <a:stretch>
                      <a:fillRect/>
                    </a:stretch>
                  </pic:blipFill>
                  <pic:spPr bwMode="auto">
                    <a:xfrm>
                      <a:off x="0" y="0"/>
                      <a:ext cx="5429250" cy="3933825"/>
                    </a:xfrm>
                    <a:prstGeom prst="rect">
                      <a:avLst/>
                    </a:prstGeom>
                    <a:noFill/>
                    <a:ln w="9525">
                      <a:noFill/>
                      <a:miter lim="800000"/>
                      <a:headEnd/>
                      <a:tailEnd/>
                    </a:ln>
                  </pic:spPr>
                </pic:pic>
              </a:graphicData>
            </a:graphic>
          </wp:inline>
        </w:drawing>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b/>
          <w:bCs/>
          <w:sz w:val="24"/>
          <w:szCs w:val="24"/>
          <w:lang w:val="ru-RU" w:eastAsia="ru-RU"/>
        </w:rPr>
        <w:t>Рисунок 1: Производительность велосипеда в зависимости от соответствия ячейки</w:t>
      </w:r>
      <w:r w:rsidRPr="00A06BFC">
        <w:rPr>
          <w:rFonts w:ascii="Times New Roman" w:eastAsia="Times New Roman" w:hAnsi="Times New Roman" w:cs="Times New Roman"/>
          <w:sz w:val="24"/>
          <w:szCs w:val="24"/>
          <w:lang w:val="ru-RU" w:eastAsia="ru-RU"/>
        </w:rPr>
        <w:t xml:space="preserve"> </w:t>
      </w:r>
      <w:r w:rsidRPr="00A06BFC">
        <w:rPr>
          <w:rFonts w:ascii="Times New Roman" w:eastAsia="Times New Roman" w:hAnsi="Times New Roman" w:cs="Times New Roman"/>
          <w:sz w:val="24"/>
          <w:szCs w:val="24"/>
          <w:lang w:val="ru-RU" w:eastAsia="ru-RU"/>
        </w:rPr>
        <w:br/>
        <w:t xml:space="preserve">Аккумуляторные батареи с хорошо подобранными ячейками работают лучше, чем батареи, в которых ячейка или группа ячеек различаются по последовательному соединению.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b/>
          <w:bCs/>
          <w:sz w:val="24"/>
          <w:szCs w:val="24"/>
          <w:vertAlign w:val="superscript"/>
          <w:lang w:val="ru-RU" w:eastAsia="ru-RU"/>
        </w:rPr>
        <w:t>Конфигурация:</w:t>
      </w:r>
      <w:r w:rsidRPr="00A06BFC">
        <w:rPr>
          <w:rFonts w:ascii="Times New Roman" w:eastAsia="Times New Roman" w:hAnsi="Times New Roman" w:cs="Times New Roman"/>
          <w:sz w:val="24"/>
          <w:szCs w:val="24"/>
          <w:vertAlign w:val="superscript"/>
          <w:lang w:val="ru-RU" w:eastAsia="ru-RU"/>
        </w:rPr>
        <w:t xml:space="preserve"> призматический </w:t>
      </w:r>
      <w:proofErr w:type="spellStart"/>
      <w:r w:rsidRPr="00A06BFC">
        <w:rPr>
          <w:rFonts w:ascii="Times New Roman" w:eastAsia="Times New Roman" w:hAnsi="Times New Roman" w:cs="Times New Roman"/>
          <w:sz w:val="24"/>
          <w:szCs w:val="24"/>
          <w:vertAlign w:val="superscript"/>
          <w:lang w:val="ru-RU" w:eastAsia="ru-RU"/>
        </w:rPr>
        <w:t>Li-ion</w:t>
      </w:r>
      <w:proofErr w:type="spellEnd"/>
      <w:r w:rsidRPr="00A06BFC">
        <w:rPr>
          <w:rFonts w:ascii="Times New Roman" w:eastAsia="Times New Roman" w:hAnsi="Times New Roman" w:cs="Times New Roman"/>
          <w:sz w:val="24"/>
          <w:szCs w:val="24"/>
          <w:vertAlign w:val="superscript"/>
          <w:lang w:val="ru-RU" w:eastAsia="ru-RU"/>
        </w:rPr>
        <w:t xml:space="preserve"> 5Ah, подключенный к 2P4S (14.8V, 10Ah) с центральным краном</w:t>
      </w:r>
      <w:r w:rsidRPr="00A06BFC">
        <w:rPr>
          <w:rFonts w:ascii="Times New Roman" w:eastAsia="Times New Roman" w:hAnsi="Times New Roman" w:cs="Times New Roman"/>
          <w:sz w:val="24"/>
          <w:szCs w:val="24"/>
          <w:lang w:val="ru-RU" w:eastAsia="ru-RU"/>
        </w:rPr>
        <w:t xml:space="preserve">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Качественные </w:t>
      </w:r>
      <w:proofErr w:type="spellStart"/>
      <w:proofErr w:type="gramStart"/>
      <w:r w:rsidRPr="00A06BFC">
        <w:rPr>
          <w:rFonts w:ascii="Times New Roman" w:eastAsia="Times New Roman" w:hAnsi="Times New Roman" w:cs="Times New Roman"/>
          <w:sz w:val="24"/>
          <w:szCs w:val="24"/>
          <w:lang w:val="ru-RU" w:eastAsia="ru-RU"/>
        </w:rPr>
        <w:t>литий-ионные</w:t>
      </w:r>
      <w:proofErr w:type="spellEnd"/>
      <w:proofErr w:type="gramEnd"/>
      <w:r w:rsidRPr="00A06BFC">
        <w:rPr>
          <w:rFonts w:ascii="Times New Roman" w:eastAsia="Times New Roman" w:hAnsi="Times New Roman" w:cs="Times New Roman"/>
          <w:sz w:val="24"/>
          <w:szCs w:val="24"/>
          <w:lang w:val="ru-RU" w:eastAsia="ru-RU"/>
        </w:rPr>
        <w:t xml:space="preserve"> элементы имеют единую емкость и низкий уровень саморазряда при новых условиях. Добавление балансировки ячеек </w:t>
      </w:r>
      <w:proofErr w:type="gramStart"/>
      <w:r w:rsidRPr="00A06BFC">
        <w:rPr>
          <w:rFonts w:ascii="Times New Roman" w:eastAsia="Times New Roman" w:hAnsi="Times New Roman" w:cs="Times New Roman"/>
          <w:sz w:val="24"/>
          <w:szCs w:val="24"/>
          <w:lang w:val="ru-RU" w:eastAsia="ru-RU"/>
        </w:rPr>
        <w:t>выгодно</w:t>
      </w:r>
      <w:proofErr w:type="gramEnd"/>
      <w:r w:rsidRPr="00A06BFC">
        <w:rPr>
          <w:rFonts w:ascii="Times New Roman" w:eastAsia="Times New Roman" w:hAnsi="Times New Roman" w:cs="Times New Roman"/>
          <w:sz w:val="24"/>
          <w:szCs w:val="24"/>
          <w:lang w:val="ru-RU" w:eastAsia="ru-RU"/>
        </w:rPr>
        <w:t xml:space="preserve"> тем более, что возраст пакета и производительность каждой ячейки снижаются в своем собственном темпе. Проблема возникает, когда ячейка в строке теряет способность или развивает повышенный саморазряд. Это может быть связано с высокотемпературными пятнами в большой батарее. Низкокачественные клетки также могут быть подвержены неравномерному старению. Литий-фосфат имеет более высокий саморазряд, чем другой литий-ион, что усложняет балансировку клеток. (См. </w:t>
      </w:r>
      <w:r w:rsidRPr="00A06BFC">
        <w:rPr>
          <w:rFonts w:ascii="Times New Roman" w:eastAsia="Times New Roman" w:hAnsi="Times New Roman" w:cs="Times New Roman"/>
          <w:color w:val="0000FF"/>
          <w:sz w:val="24"/>
          <w:szCs w:val="24"/>
          <w:u w:val="single"/>
          <w:lang w:val="ru-RU" w:eastAsia="ru-RU"/>
        </w:rPr>
        <w:t xml:space="preserve"> Что такое повышенный саморазряд?</w:t>
      </w:r>
      <w:proofErr w:type="gramStart"/>
      <w:r w:rsidRPr="00A06BFC">
        <w:rPr>
          <w:rFonts w:ascii="Times New Roman" w:eastAsia="Times New Roman" w:hAnsi="Times New Roman" w:cs="Times New Roman"/>
          <w:sz w:val="24"/>
          <w:szCs w:val="24"/>
          <w:lang w:val="ru-RU" w:eastAsia="ru-RU"/>
        </w:rPr>
        <w:t xml:space="preserve"> )</w:t>
      </w:r>
      <w:proofErr w:type="gramEnd"/>
      <w:r w:rsidRPr="00A06BFC">
        <w:rPr>
          <w:rFonts w:ascii="Times New Roman" w:eastAsia="Times New Roman" w:hAnsi="Times New Roman" w:cs="Times New Roman"/>
          <w:sz w:val="24"/>
          <w:szCs w:val="24"/>
          <w:lang w:val="ru-RU" w:eastAsia="ru-RU"/>
        </w:rPr>
        <w:t xml:space="preserve">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Эксперт по батарее однажды сказал: «Я не видел схему балансировки ячейки, которая работает». Для многоячеистых пакетов он предложил использовать качественные </w:t>
      </w:r>
      <w:proofErr w:type="spellStart"/>
      <w:proofErr w:type="gramStart"/>
      <w:r w:rsidRPr="00A06BFC">
        <w:rPr>
          <w:rFonts w:ascii="Times New Roman" w:eastAsia="Times New Roman" w:hAnsi="Times New Roman" w:cs="Times New Roman"/>
          <w:sz w:val="24"/>
          <w:szCs w:val="24"/>
          <w:lang w:val="ru-RU" w:eastAsia="ru-RU"/>
        </w:rPr>
        <w:t>литий-ионные</w:t>
      </w:r>
      <w:proofErr w:type="spellEnd"/>
      <w:proofErr w:type="gramEnd"/>
      <w:r w:rsidRPr="00A06BFC">
        <w:rPr>
          <w:rFonts w:ascii="Times New Roman" w:eastAsia="Times New Roman" w:hAnsi="Times New Roman" w:cs="Times New Roman"/>
          <w:sz w:val="24"/>
          <w:szCs w:val="24"/>
          <w:lang w:val="ru-RU" w:eastAsia="ru-RU"/>
        </w:rPr>
        <w:t xml:space="preserve"> элементы, которые были отсортированы по фабрике по емкости и напряжению. Это хорошо работает для </w:t>
      </w:r>
      <w:proofErr w:type="spellStart"/>
      <w:r w:rsidRPr="00A06BFC">
        <w:rPr>
          <w:rFonts w:ascii="Times New Roman" w:eastAsia="Times New Roman" w:hAnsi="Times New Roman" w:cs="Times New Roman"/>
          <w:sz w:val="24"/>
          <w:szCs w:val="24"/>
          <w:lang w:val="ru-RU" w:eastAsia="ru-RU"/>
        </w:rPr>
        <w:t>литий-ионных</w:t>
      </w:r>
      <w:proofErr w:type="spellEnd"/>
      <w:r w:rsidRPr="00A06BFC">
        <w:rPr>
          <w:rFonts w:ascii="Times New Roman" w:eastAsia="Times New Roman" w:hAnsi="Times New Roman" w:cs="Times New Roman"/>
          <w:sz w:val="24"/>
          <w:szCs w:val="24"/>
          <w:lang w:val="ru-RU" w:eastAsia="ru-RU"/>
        </w:rPr>
        <w:t xml:space="preserve"> упаковок до 24</w:t>
      </w:r>
      <w:proofErr w:type="gramStart"/>
      <w:r w:rsidRPr="00A06BFC">
        <w:rPr>
          <w:rFonts w:ascii="Times New Roman" w:eastAsia="Times New Roman" w:hAnsi="Times New Roman" w:cs="Times New Roman"/>
          <w:sz w:val="24"/>
          <w:szCs w:val="24"/>
          <w:lang w:val="ru-RU" w:eastAsia="ru-RU"/>
        </w:rPr>
        <w:t xml:space="preserve"> В</w:t>
      </w:r>
      <w:proofErr w:type="gramEnd"/>
      <w:r w:rsidRPr="00A06BFC">
        <w:rPr>
          <w:rFonts w:ascii="Times New Roman" w:eastAsia="Times New Roman" w:hAnsi="Times New Roman" w:cs="Times New Roman"/>
          <w:sz w:val="24"/>
          <w:szCs w:val="24"/>
          <w:lang w:val="ru-RU" w:eastAsia="ru-RU"/>
        </w:rPr>
        <w:t xml:space="preserve">; пакеты выше 24 В должны иметь балансировку. Большинство балансировки пассивны; активная балансировка сложна и используется только в очень больших системах.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i/>
          <w:iCs/>
          <w:sz w:val="24"/>
          <w:szCs w:val="24"/>
          <w:lang w:val="ru-RU" w:eastAsia="ru-RU"/>
        </w:rPr>
        <w:t>Пассивная балансировка</w:t>
      </w:r>
      <w:r w:rsidRPr="00A06BFC">
        <w:rPr>
          <w:rFonts w:ascii="Times New Roman" w:eastAsia="Times New Roman" w:hAnsi="Times New Roman" w:cs="Times New Roman"/>
          <w:sz w:val="24"/>
          <w:szCs w:val="24"/>
          <w:lang w:val="ru-RU" w:eastAsia="ru-RU"/>
        </w:rPr>
        <w:t xml:space="preserve"> излучает высоковольтные ячейки на резисторе во время заряда в кривой 70</w:t>
      </w:r>
      <w:proofErr w:type="gramStart"/>
      <w:r w:rsidRPr="00A06BFC">
        <w:rPr>
          <w:rFonts w:ascii="Times New Roman" w:eastAsia="Times New Roman" w:hAnsi="Times New Roman" w:cs="Times New Roman"/>
          <w:sz w:val="24"/>
          <w:szCs w:val="24"/>
          <w:lang w:val="ru-RU" w:eastAsia="ru-RU"/>
        </w:rPr>
        <w:t xml:space="preserve"> ° С</w:t>
      </w:r>
      <w:proofErr w:type="gramEnd"/>
      <w:r w:rsidRPr="00A06BFC">
        <w:rPr>
          <w:rFonts w:ascii="Times New Roman" w:eastAsia="Times New Roman" w:hAnsi="Times New Roman" w:cs="Times New Roman"/>
          <w:sz w:val="24"/>
          <w:szCs w:val="24"/>
          <w:lang w:val="ru-RU" w:eastAsia="ru-RU"/>
        </w:rPr>
        <w:t xml:space="preserve"> на кривой 70 ° С; активная балансировка </w:t>
      </w:r>
      <w:proofErr w:type="spellStart"/>
      <w:r w:rsidRPr="00A06BFC">
        <w:rPr>
          <w:rFonts w:ascii="Times New Roman" w:eastAsia="Times New Roman" w:hAnsi="Times New Roman" w:cs="Times New Roman"/>
          <w:sz w:val="24"/>
          <w:szCs w:val="24"/>
          <w:lang w:val="ru-RU" w:eastAsia="ru-RU"/>
        </w:rPr>
        <w:t>перенаправляет</w:t>
      </w:r>
      <w:proofErr w:type="spellEnd"/>
      <w:r w:rsidRPr="00A06BFC">
        <w:rPr>
          <w:rFonts w:ascii="Times New Roman" w:eastAsia="Times New Roman" w:hAnsi="Times New Roman" w:cs="Times New Roman"/>
          <w:sz w:val="24"/>
          <w:szCs w:val="24"/>
          <w:lang w:val="ru-RU" w:eastAsia="ru-RU"/>
        </w:rPr>
        <w:t xml:space="preserve"> дополнительную зарядку из высоковольтных ячеек во время разряда тем, у кого есть более низкое напряжение. </w:t>
      </w:r>
      <w:r w:rsidRPr="00A06BFC">
        <w:rPr>
          <w:rFonts w:ascii="Times New Roman" w:eastAsia="Times New Roman" w:hAnsi="Times New Roman" w:cs="Times New Roman"/>
          <w:i/>
          <w:iCs/>
          <w:sz w:val="24"/>
          <w:szCs w:val="24"/>
          <w:lang w:val="ru-RU" w:eastAsia="ru-RU"/>
        </w:rPr>
        <w:t>Активная балансировка</w:t>
      </w:r>
      <w:r w:rsidRPr="00A06BFC">
        <w:rPr>
          <w:rFonts w:ascii="Times New Roman" w:eastAsia="Times New Roman" w:hAnsi="Times New Roman" w:cs="Times New Roman"/>
          <w:sz w:val="24"/>
          <w:szCs w:val="24"/>
          <w:lang w:val="ru-RU" w:eastAsia="ru-RU"/>
        </w:rPr>
        <w:t xml:space="preserve"> является предпочтительным методом для батарей EV, но для этого требуются DC-DC-преобразователи. Исправленные токи находятся только в диапазоне мА. При применении большой нагрузки во время ускорения, а затем быстрой зарядки с рекуперативным торможением требуется хорошо настроенная ячейка в высоковольтной батарее для достижения ожидаемого срока службы. В батареях EV в </w:t>
      </w:r>
      <w:proofErr w:type="spellStart"/>
      <w:r w:rsidRPr="00A06BFC">
        <w:rPr>
          <w:rFonts w:ascii="Times New Roman" w:eastAsia="Times New Roman" w:hAnsi="Times New Roman" w:cs="Times New Roman"/>
          <w:sz w:val="24"/>
          <w:szCs w:val="24"/>
          <w:lang w:val="ru-RU" w:eastAsia="ru-RU"/>
        </w:rPr>
        <w:t>Tesla</w:t>
      </w:r>
      <w:proofErr w:type="spellEnd"/>
      <w:r w:rsidRPr="00A06BFC">
        <w:rPr>
          <w:rFonts w:ascii="Times New Roman" w:eastAsia="Times New Roman" w:hAnsi="Times New Roman" w:cs="Times New Roman"/>
          <w:sz w:val="24"/>
          <w:szCs w:val="24"/>
          <w:lang w:val="ru-RU" w:eastAsia="ru-RU"/>
        </w:rPr>
        <w:t xml:space="preserve">, BMW i3 и других EV используются активные балансировки для минимизации напряжения ячейки.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Приложения с одной ячейкой в </w:t>
      </w:r>
      <w:r w:rsidRPr="00A06BFC">
        <w:rPr>
          <w:rFonts w:ascii="Cambria Math" w:eastAsia="Times New Roman" w:hAnsi="Cambria Math" w:cs="Cambria Math"/>
          <w:sz w:val="24"/>
          <w:szCs w:val="24"/>
          <w:lang w:val="ru-RU" w:eastAsia="ru-RU"/>
        </w:rPr>
        <w:t>​​</w:t>
      </w:r>
      <w:r w:rsidRPr="00A06BFC">
        <w:rPr>
          <w:rFonts w:ascii="Times New Roman" w:eastAsia="Times New Roman" w:hAnsi="Times New Roman" w:cs="Times New Roman"/>
          <w:sz w:val="24"/>
          <w:szCs w:val="24"/>
          <w:lang w:val="ru-RU" w:eastAsia="ru-RU"/>
        </w:rPr>
        <w:t xml:space="preserve">мобильных телефонах и планшетах не нуждаются в балансировке ячейки. Емкость между ячейками может варьироваться, и каждой клетке разрешено стареть на своих условиях, не причиняя вреда, кроме доставки более коротких промежутков времени. Потребитель принимает это снижение; это часть запланированного устаревания в потребительских продуктах. ( </w:t>
      </w:r>
      <w:r w:rsidR="00AA1CC7">
        <w:rPr>
          <w:rFonts w:ascii="Times New Roman" w:eastAsia="Times New Roman" w:hAnsi="Times New Roman" w:cs="Times New Roman"/>
          <w:color w:val="0000FF"/>
          <w:sz w:val="24"/>
          <w:szCs w:val="24"/>
          <w:u w:val="single"/>
          <w:lang w:val="ru-RU" w:eastAsia="ru-RU"/>
        </w:rPr>
        <w:t xml:space="preserve">См. </w:t>
      </w:r>
      <w:r w:rsidRPr="00A06BFC">
        <w:rPr>
          <w:rFonts w:ascii="Times New Roman" w:eastAsia="Times New Roman" w:hAnsi="Times New Roman" w:cs="Times New Roman"/>
          <w:color w:val="0000FF"/>
          <w:sz w:val="24"/>
          <w:szCs w:val="24"/>
          <w:u w:val="single"/>
          <w:lang w:val="ru-RU" w:eastAsia="ru-RU"/>
        </w:rPr>
        <w:t xml:space="preserve"> Как оценивать время работы батареи.</w:t>
      </w:r>
      <w:proofErr w:type="gramStart"/>
      <w:r w:rsidRPr="00A06BFC">
        <w:rPr>
          <w:rFonts w:ascii="Times New Roman" w:eastAsia="Times New Roman" w:hAnsi="Times New Roman" w:cs="Times New Roman"/>
          <w:sz w:val="24"/>
          <w:szCs w:val="24"/>
          <w:lang w:val="ru-RU" w:eastAsia="ru-RU"/>
        </w:rPr>
        <w:t xml:space="preserve"> )</w:t>
      </w:r>
      <w:proofErr w:type="gramEnd"/>
      <w:r w:rsidRPr="00A06BFC">
        <w:rPr>
          <w:rFonts w:ascii="Times New Roman" w:eastAsia="Times New Roman" w:hAnsi="Times New Roman" w:cs="Times New Roman"/>
          <w:sz w:val="24"/>
          <w:szCs w:val="24"/>
          <w:lang w:val="ru-RU" w:eastAsia="ru-RU"/>
        </w:rPr>
        <w:t xml:space="preserve">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Все </w:t>
      </w:r>
      <w:proofErr w:type="spellStart"/>
      <w:r w:rsidRPr="00A06BFC">
        <w:rPr>
          <w:rFonts w:ascii="Times New Roman" w:eastAsia="Times New Roman" w:hAnsi="Times New Roman" w:cs="Times New Roman"/>
          <w:sz w:val="24"/>
          <w:szCs w:val="24"/>
          <w:lang w:val="ru-RU" w:eastAsia="ru-RU"/>
        </w:rPr>
        <w:t>литий-ионные</w:t>
      </w:r>
      <w:proofErr w:type="spellEnd"/>
      <w:r w:rsidRPr="00A06BFC">
        <w:rPr>
          <w:rFonts w:ascii="Times New Roman" w:eastAsia="Times New Roman" w:hAnsi="Times New Roman" w:cs="Times New Roman"/>
          <w:sz w:val="24"/>
          <w:szCs w:val="24"/>
          <w:lang w:val="ru-RU" w:eastAsia="ru-RU"/>
        </w:rPr>
        <w:t xml:space="preserve"> элементы требуют схемы защиты, которая гарантирует, что серийно связанные ячейки не превышают 4,25</w:t>
      </w:r>
      <w:proofErr w:type="gramStart"/>
      <w:r w:rsidRPr="00A06BFC">
        <w:rPr>
          <w:rFonts w:ascii="Times New Roman" w:eastAsia="Times New Roman" w:hAnsi="Times New Roman" w:cs="Times New Roman"/>
          <w:sz w:val="24"/>
          <w:szCs w:val="24"/>
          <w:lang w:val="ru-RU" w:eastAsia="ru-RU"/>
        </w:rPr>
        <w:t xml:space="preserve"> В</w:t>
      </w:r>
      <w:proofErr w:type="gramEnd"/>
      <w:r w:rsidRPr="00A06BFC">
        <w:rPr>
          <w:rFonts w:ascii="Times New Roman" w:eastAsia="Times New Roman" w:hAnsi="Times New Roman" w:cs="Times New Roman"/>
          <w:sz w:val="24"/>
          <w:szCs w:val="24"/>
          <w:lang w:val="ru-RU" w:eastAsia="ru-RU"/>
        </w:rPr>
        <w:t xml:space="preserve"> / ячейку (большинство </w:t>
      </w:r>
      <w:proofErr w:type="spellStart"/>
      <w:r w:rsidRPr="00A06BFC">
        <w:rPr>
          <w:rFonts w:ascii="Times New Roman" w:eastAsia="Times New Roman" w:hAnsi="Times New Roman" w:cs="Times New Roman"/>
          <w:sz w:val="24"/>
          <w:szCs w:val="24"/>
          <w:lang w:val="ru-RU" w:eastAsia="ru-RU"/>
        </w:rPr>
        <w:t>литий-ионных</w:t>
      </w:r>
      <w:proofErr w:type="spellEnd"/>
      <w:r w:rsidRPr="00A06BFC">
        <w:rPr>
          <w:rFonts w:ascii="Times New Roman" w:eastAsia="Times New Roman" w:hAnsi="Times New Roman" w:cs="Times New Roman"/>
          <w:sz w:val="24"/>
          <w:szCs w:val="24"/>
          <w:lang w:val="ru-RU" w:eastAsia="ru-RU"/>
        </w:rPr>
        <w:t xml:space="preserve">) при зарядке и которые </w:t>
      </w:r>
      <w:r w:rsidRPr="00A06BFC">
        <w:rPr>
          <w:rFonts w:ascii="Times New Roman" w:eastAsia="Times New Roman" w:hAnsi="Times New Roman" w:cs="Times New Roman"/>
          <w:sz w:val="24"/>
          <w:szCs w:val="24"/>
          <w:lang w:val="ru-RU" w:eastAsia="ru-RU"/>
        </w:rPr>
        <w:lastRenderedPageBreak/>
        <w:t xml:space="preserve">отсоединяются, когда самая слабая ячейка падает до 2,80 В / ячейку или ниже. Разрядное отсоединение предотвращает более сильные ячейки от подталкивания обедненной ячейки к обратной полярности. Схема защиты действует как ангел-хранитель, который защищает слабых братьев и сестер от издевательства со стороны более сильных сверстников. Это может объяснить, почему </w:t>
      </w:r>
      <w:proofErr w:type="spellStart"/>
      <w:proofErr w:type="gramStart"/>
      <w:r w:rsidRPr="00A06BFC">
        <w:rPr>
          <w:rFonts w:ascii="Times New Roman" w:eastAsia="Times New Roman" w:hAnsi="Times New Roman" w:cs="Times New Roman"/>
          <w:sz w:val="24"/>
          <w:szCs w:val="24"/>
          <w:lang w:val="ru-RU" w:eastAsia="ru-RU"/>
        </w:rPr>
        <w:t>литий-ионные</w:t>
      </w:r>
      <w:proofErr w:type="spellEnd"/>
      <w:proofErr w:type="gramEnd"/>
      <w:r w:rsidRPr="00A06BFC">
        <w:rPr>
          <w:rFonts w:ascii="Times New Roman" w:eastAsia="Times New Roman" w:hAnsi="Times New Roman" w:cs="Times New Roman"/>
          <w:sz w:val="24"/>
          <w:szCs w:val="24"/>
          <w:lang w:val="ru-RU" w:eastAsia="ru-RU"/>
        </w:rPr>
        <w:t xml:space="preserve"> аккумуляторы для электроинструментов продолжаются дольше, чем никелевые батареи без схемы защиты. Схема защиты также защищает аккумулятор от чрезмерного тока нагрузки. </w:t>
      </w:r>
    </w:p>
    <w:p w:rsidR="00A06BFC" w:rsidRPr="00A06BFC" w:rsidRDefault="00A06BFC" w:rsidP="00A06BFC">
      <w:pPr>
        <w:spacing w:before="100" w:beforeAutospacing="1" w:after="100" w:afterAutospacing="1"/>
        <w:ind w:left="0" w:firstLine="0"/>
        <w:rPr>
          <w:rFonts w:ascii="Times New Roman" w:eastAsia="Times New Roman" w:hAnsi="Times New Roman" w:cs="Times New Roman"/>
          <w:sz w:val="24"/>
          <w:szCs w:val="24"/>
          <w:lang w:val="ru-RU" w:eastAsia="ru-RU"/>
        </w:rPr>
      </w:pPr>
      <w:r w:rsidRPr="00A06BFC">
        <w:rPr>
          <w:rFonts w:ascii="Times New Roman" w:eastAsia="Times New Roman" w:hAnsi="Times New Roman" w:cs="Times New Roman"/>
          <w:sz w:val="24"/>
          <w:szCs w:val="24"/>
          <w:lang w:val="ru-RU" w:eastAsia="ru-RU"/>
        </w:rPr>
        <w:t>При использовании и времени элементы батареи становятся несогласованными, и это также относится к свинцовой кислоте. Клетки, которые развивают высокий саморазряд, приведут к дисбалансу и последующему сбою. Производители гольф-машин, воздушных рабочих платформ, напольных скрубберов и других автомобилей с батарейным питанием рекомендуют уравнительный заряд, если разность напряжений между ячейками больше +/- 0,10</w:t>
      </w:r>
      <w:proofErr w:type="gramStart"/>
      <w:r w:rsidRPr="00A06BFC">
        <w:rPr>
          <w:rFonts w:ascii="Times New Roman" w:eastAsia="Times New Roman" w:hAnsi="Times New Roman" w:cs="Times New Roman"/>
          <w:sz w:val="24"/>
          <w:szCs w:val="24"/>
          <w:lang w:val="ru-RU" w:eastAsia="ru-RU"/>
        </w:rPr>
        <w:t xml:space="preserve"> В</w:t>
      </w:r>
      <w:proofErr w:type="gramEnd"/>
      <w:r w:rsidRPr="00A06BFC">
        <w:rPr>
          <w:rFonts w:ascii="Times New Roman" w:eastAsia="Times New Roman" w:hAnsi="Times New Roman" w:cs="Times New Roman"/>
          <w:sz w:val="24"/>
          <w:szCs w:val="24"/>
          <w:lang w:val="ru-RU" w:eastAsia="ru-RU"/>
        </w:rPr>
        <w:t xml:space="preserve"> или если удельный вес изменяется более чем на 10 пунктов (0,010 на шкала SG). </w:t>
      </w:r>
      <w:r w:rsidRPr="00A06BFC">
        <w:rPr>
          <w:rFonts w:ascii="Times New Roman" w:eastAsia="Times New Roman" w:hAnsi="Times New Roman" w:cs="Times New Roman"/>
          <w:sz w:val="24"/>
          <w:szCs w:val="24"/>
          <w:lang w:val="ru-RU" w:eastAsia="ru-RU"/>
        </w:rPr>
        <w:br/>
      </w:r>
      <w:r w:rsidRPr="00A06BFC">
        <w:rPr>
          <w:rFonts w:ascii="Times New Roman" w:eastAsia="Times New Roman" w:hAnsi="Times New Roman" w:cs="Times New Roman"/>
          <w:sz w:val="24"/>
          <w:szCs w:val="24"/>
          <w:lang w:val="ru-RU" w:eastAsia="ru-RU"/>
        </w:rPr>
        <w:br/>
        <w:t xml:space="preserve">Уравнивающий заряд представляет собой заряд поверх заряда, который приводит к полной насыщенности всех ячеек. Эта услуга должна управляться с осторожностью, потому что чрезмерная зарядка может повредить батарею. ( </w:t>
      </w:r>
      <w:r w:rsidRPr="00A06BFC">
        <w:rPr>
          <w:rFonts w:ascii="Times New Roman" w:eastAsia="Times New Roman" w:hAnsi="Times New Roman" w:cs="Times New Roman"/>
          <w:color w:val="0000FF"/>
          <w:sz w:val="24"/>
          <w:szCs w:val="24"/>
          <w:u w:val="single"/>
          <w:lang w:val="ru-RU" w:eastAsia="ru-RU"/>
        </w:rPr>
        <w:t>См.  Уравнительная зарядка</w:t>
      </w:r>
      <w:proofErr w:type="gramStart"/>
      <w:r w:rsidRPr="00A06BFC">
        <w:rPr>
          <w:rFonts w:ascii="Times New Roman" w:eastAsia="Times New Roman" w:hAnsi="Times New Roman" w:cs="Times New Roman"/>
          <w:sz w:val="24"/>
          <w:szCs w:val="24"/>
          <w:lang w:val="ru-RU" w:eastAsia="ru-RU"/>
        </w:rPr>
        <w:t xml:space="preserve"> )</w:t>
      </w:r>
      <w:proofErr w:type="gramEnd"/>
      <w:r w:rsidRPr="00A06BFC">
        <w:rPr>
          <w:rFonts w:ascii="Times New Roman" w:eastAsia="Times New Roman" w:hAnsi="Times New Roman" w:cs="Times New Roman"/>
          <w:sz w:val="24"/>
          <w:szCs w:val="24"/>
          <w:lang w:val="ru-RU" w:eastAsia="ru-RU"/>
        </w:rPr>
        <w:t xml:space="preserve">. Разница в удельном весе 40 пунктов создает проблему с производительностью, и ячейка считается дефектной. (Разность в 40 пунктов означает, что одна ячейка имеет SG 1.200 и еще 1.240.) Заряд может временно покрыть недостаток, но дефект, скорее всего, снова появится снова через несколько часов из-за высокого саморазряда неисправной ячейки. </w:t>
      </w:r>
    </w:p>
    <w:p w:rsidR="00A06BFC" w:rsidRPr="00AA1CC7" w:rsidRDefault="00A06BFC" w:rsidP="00A06BFC">
      <w:pPr>
        <w:spacing w:before="100" w:beforeAutospacing="1" w:after="100" w:afterAutospacing="1"/>
        <w:ind w:left="0" w:firstLine="0"/>
        <w:rPr>
          <w:rFonts w:ascii="Times New Roman" w:eastAsia="Times New Roman" w:hAnsi="Times New Roman" w:cs="Times New Roman"/>
          <w:sz w:val="24"/>
          <w:szCs w:val="24"/>
          <w:lang w:val="en-US" w:eastAsia="ru-RU"/>
        </w:rPr>
      </w:pPr>
      <w:r w:rsidRPr="00A06BFC">
        <w:rPr>
          <w:rFonts w:ascii="Times New Roman" w:eastAsia="Times New Roman" w:hAnsi="Times New Roman" w:cs="Times New Roman"/>
          <w:sz w:val="24"/>
          <w:szCs w:val="24"/>
          <w:lang w:val="ru-RU" w:eastAsia="ru-RU"/>
        </w:rPr>
        <w:t>Последнее</w:t>
      </w:r>
      <w:r w:rsidRPr="00AA1CC7">
        <w:rPr>
          <w:rFonts w:ascii="Times New Roman" w:eastAsia="Times New Roman" w:hAnsi="Times New Roman" w:cs="Times New Roman"/>
          <w:sz w:val="24"/>
          <w:szCs w:val="24"/>
          <w:lang w:val="en-US" w:eastAsia="ru-RU"/>
        </w:rPr>
        <w:t xml:space="preserve"> </w:t>
      </w:r>
      <w:r w:rsidRPr="00A06BFC">
        <w:rPr>
          <w:rFonts w:ascii="Times New Roman" w:eastAsia="Times New Roman" w:hAnsi="Times New Roman" w:cs="Times New Roman"/>
          <w:sz w:val="24"/>
          <w:szCs w:val="24"/>
          <w:lang w:val="ru-RU" w:eastAsia="ru-RU"/>
        </w:rPr>
        <w:t>обновление</w:t>
      </w:r>
      <w:r w:rsidRPr="00AA1CC7">
        <w:rPr>
          <w:rFonts w:ascii="Times New Roman" w:eastAsia="Times New Roman" w:hAnsi="Times New Roman" w:cs="Times New Roman"/>
          <w:sz w:val="24"/>
          <w:szCs w:val="24"/>
          <w:lang w:val="en-US" w:eastAsia="ru-RU"/>
        </w:rPr>
        <w:t xml:space="preserve">: 2016-04-02 </w:t>
      </w:r>
    </w:p>
    <w:p w:rsidR="00AA1CC7" w:rsidRDefault="00AA1CC7" w:rsidP="00AA1CC7">
      <w:pPr>
        <w:pStyle w:val="1"/>
      </w:pPr>
    </w:p>
    <w:p w:rsidR="00AA1CC7" w:rsidRDefault="00AA1CC7" w:rsidP="00AA1CC7">
      <w:pPr>
        <w:pStyle w:val="1"/>
      </w:pPr>
    </w:p>
    <w:p w:rsidR="00AA1CC7" w:rsidRPr="00AA1CC7" w:rsidRDefault="00AA1CC7" w:rsidP="00AA1CC7">
      <w:pPr>
        <w:pStyle w:val="1"/>
        <w:rPr>
          <w:lang w:val="en-US"/>
        </w:rPr>
      </w:pPr>
      <w:r w:rsidRPr="00AA1CC7">
        <w:rPr>
          <w:lang w:val="en-US"/>
        </w:rPr>
        <w:t xml:space="preserve">Cell Matching and Balancing </w:t>
      </w:r>
    </w:p>
    <w:p w:rsidR="00AA1CC7" w:rsidRPr="00AA1CC7" w:rsidRDefault="00AA1CC7" w:rsidP="00AA1CC7">
      <w:pPr>
        <w:pStyle w:val="a3"/>
        <w:rPr>
          <w:lang w:val="en-US"/>
        </w:rPr>
      </w:pPr>
      <w:r w:rsidRPr="00AA1CC7">
        <w:rPr>
          <w:rStyle w:val="a4"/>
          <w:lang w:val="en-US"/>
        </w:rPr>
        <w:t>Discover that quality cells are the best foundation for a lasting battery pack</w:t>
      </w:r>
      <w:r w:rsidRPr="00AA1CC7">
        <w:rPr>
          <w:lang w:val="en-US"/>
        </w:rPr>
        <w:br/>
      </w:r>
      <w:r w:rsidRPr="00AA1CC7">
        <w:rPr>
          <w:lang w:val="en-US"/>
        </w:rPr>
        <w:br/>
      </w:r>
      <w:proofErr w:type="gramStart"/>
      <w:r w:rsidRPr="00AA1CC7">
        <w:rPr>
          <w:lang w:val="en-US"/>
        </w:rPr>
        <w:t>A</w:t>
      </w:r>
      <w:proofErr w:type="gramEnd"/>
      <w:r w:rsidRPr="00AA1CC7">
        <w:rPr>
          <w:lang w:val="en-US"/>
        </w:rPr>
        <w:t xml:space="preserve"> manufacturer cannot predict the exact capacity when the cell comes off the production line, and this is especially true with lead acid and other batteries that involve manual assembly. Even fully automated cell production in clean rooms causes performance differences. As part of quality control, each cell is measured and segregated into categories according to their capacity levels. The high-capacity </w:t>
      </w:r>
      <w:proofErr w:type="spellStart"/>
      <w:r w:rsidRPr="00AA1CC7">
        <w:rPr>
          <w:lang w:val="en-US"/>
        </w:rPr>
        <w:t>NiMH</w:t>
      </w:r>
      <w:proofErr w:type="spellEnd"/>
      <w:r w:rsidRPr="00AA1CC7">
        <w:rPr>
          <w:lang w:val="en-US"/>
        </w:rPr>
        <w:t xml:space="preserve"> and other cells may be reserved for special applications and sold at premium prices; the large mid-range will go to commercial and industrial markets; and the low-grade cells might end up in a consumer product or in a department store. Cycling will not significantly improve the capacity of the low-end cell, and the buyer should be aware of differences in capacity and quality, which often translate into life expectancy.</w:t>
      </w:r>
      <w:r w:rsidRPr="00AA1CC7">
        <w:rPr>
          <w:lang w:val="en-US"/>
        </w:rPr>
        <w:br/>
      </w:r>
      <w:r w:rsidRPr="00AA1CC7">
        <w:rPr>
          <w:lang w:val="en-US"/>
        </w:rPr>
        <w:br/>
        <w:t>Cell matching according to capacity is important, especially for industrial batteries, and no perfect match is possible. If slightly off, nickel-based cells adapt to each other after a few charge/discharge cycles similar to the players on a winning sports team. High-quality cells continue to perform longer than the lower-quality counterparts, and fading is more even and controlled. Lower-grade cells, on the other hand, diverge more quickly with use and time, and failures due to cell mismatch are more widespread. Cell mismatch is a common cause of failure in industrial batteries. Manufacturers of professional power tools and medical equipment are careful with the choice of cells to attain good battery reliability and long life.</w:t>
      </w:r>
      <w:r w:rsidRPr="00AA1CC7">
        <w:rPr>
          <w:lang w:val="en-US"/>
        </w:rPr>
        <w:br/>
      </w:r>
      <w:r w:rsidRPr="00AA1CC7">
        <w:rPr>
          <w:lang w:val="en-US"/>
        </w:rPr>
        <w:br/>
        <w:t xml:space="preserve">Let’s look at what happens to a weak cell that is strung together with stronger cells in a pack. The weak cell holds less capacity and is discharged more quickly than their strong brothers. Going empty first causes their strong brothers to overrun their feeble sibling to the point where a high load can push the weak cell into reverse polarity. Nickel-cadmium can tolerate a reverse voltage of minus 0.2V at a few milliamps, but exceeding this will cause a permanent electrical short. On charge, the weak cell reaches full charge first, and then goes into heat-generating overcharge, while the strong brothers still accept charge and stay cool. The weak cell </w:t>
      </w:r>
      <w:r w:rsidRPr="00AA1CC7">
        <w:rPr>
          <w:lang w:val="en-US"/>
        </w:rPr>
        <w:lastRenderedPageBreak/>
        <w:t>experiences a disadvantage on both charge and discharge; it continues to weaken until giving up the struggle.</w:t>
      </w:r>
      <w:r w:rsidRPr="00AA1CC7">
        <w:rPr>
          <w:lang w:val="en-US"/>
        </w:rPr>
        <w:br/>
      </w:r>
      <w:r w:rsidRPr="00AA1CC7">
        <w:rPr>
          <w:lang w:val="en-US"/>
        </w:rPr>
        <w:br/>
        <w:t>The capacity tolerance between cells in an industrial battery should be +/– 2.5 percent. High-voltage packs designed for heavy loads and a wide temperature range should reduce the capacity tolerance further. There is a strong correlation between cell balance and longevity.</w:t>
      </w:r>
      <w:r w:rsidRPr="00AA1CC7">
        <w:rPr>
          <w:lang w:val="en-US"/>
        </w:rPr>
        <w:br/>
      </w:r>
      <w:r w:rsidRPr="00AA1CC7">
        <w:rPr>
          <w:lang w:val="en-US"/>
        </w:rPr>
        <w:br/>
        <w:t>Figure 1 illustrates the cycling performance of five aged Li-ion packs as a function of cell match. The cells are connected in a 2P4S arrangement with a center tap, forming two battery sections that in our example are poorly matched. The capacity differences between the two sections are 5, 6, 7 and 12 percent. When cycled, all batteries show large capacity losses over 18 cycles, but the greatest decrease occurs with the pack exhibiting 12 percent capacity mismatch.</w:t>
      </w:r>
    </w:p>
    <w:p w:rsidR="00AA1CC7" w:rsidRPr="00AA1CC7" w:rsidRDefault="00AA1CC7" w:rsidP="00AA1CC7">
      <w:pPr>
        <w:pStyle w:val="a3"/>
        <w:rPr>
          <w:lang w:val="en-US"/>
        </w:rPr>
      </w:pPr>
      <w:r>
        <w:rPr>
          <w:noProof/>
        </w:rPr>
        <w:drawing>
          <wp:inline distT="0" distB="0" distL="0" distR="0">
            <wp:extent cx="5429250" cy="3933825"/>
            <wp:effectExtent l="19050" t="0" r="0" b="0"/>
            <wp:docPr id="2" name="Рисунок 1" descr="Cell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l Balance"/>
                    <pic:cNvPicPr>
                      <a:picLocks noChangeAspect="1" noChangeArrowheads="1"/>
                    </pic:cNvPicPr>
                  </pic:nvPicPr>
                  <pic:blipFill>
                    <a:blip r:embed="rId4"/>
                    <a:srcRect/>
                    <a:stretch>
                      <a:fillRect/>
                    </a:stretch>
                  </pic:blipFill>
                  <pic:spPr bwMode="auto">
                    <a:xfrm>
                      <a:off x="0" y="0"/>
                      <a:ext cx="5429250" cy="3933825"/>
                    </a:xfrm>
                    <a:prstGeom prst="rect">
                      <a:avLst/>
                    </a:prstGeom>
                    <a:noFill/>
                    <a:ln w="9525">
                      <a:noFill/>
                      <a:miter lim="800000"/>
                      <a:headEnd/>
                      <a:tailEnd/>
                    </a:ln>
                  </pic:spPr>
                </pic:pic>
              </a:graphicData>
            </a:graphic>
          </wp:inline>
        </w:drawing>
      </w:r>
      <w:r w:rsidRPr="00AA1CC7">
        <w:rPr>
          <w:lang w:val="en-US"/>
        </w:rPr>
        <w:br/>
      </w:r>
      <w:r w:rsidRPr="00AA1CC7">
        <w:rPr>
          <w:rStyle w:val="a4"/>
          <w:lang w:val="en-US"/>
        </w:rPr>
        <w:t>Figure 1: Cycling performance as a function of cell match</w:t>
      </w:r>
      <w:r w:rsidRPr="00AA1CC7">
        <w:rPr>
          <w:lang w:val="en-US"/>
        </w:rPr>
        <w:br/>
        <w:t xml:space="preserve">Battery packs with well-matched cells </w:t>
      </w:r>
      <w:proofErr w:type="gramStart"/>
      <w:r w:rsidRPr="00AA1CC7">
        <w:rPr>
          <w:lang w:val="en-US"/>
        </w:rPr>
        <w:t>perform</w:t>
      </w:r>
      <w:proofErr w:type="gramEnd"/>
      <w:r w:rsidRPr="00AA1CC7">
        <w:rPr>
          <w:lang w:val="en-US"/>
        </w:rPr>
        <w:t xml:space="preserve"> better than those in which the cell or group of cells differ in serial connection.</w:t>
      </w:r>
      <w:r w:rsidRPr="00AA1CC7">
        <w:rPr>
          <w:lang w:val="en-US"/>
        </w:rPr>
        <w:br/>
      </w:r>
      <w:r w:rsidRPr="00AA1CC7">
        <w:rPr>
          <w:rStyle w:val="a4"/>
          <w:vertAlign w:val="superscript"/>
          <w:lang w:val="en-US"/>
        </w:rPr>
        <w:t>Configuration:</w:t>
      </w:r>
      <w:r w:rsidRPr="00AA1CC7">
        <w:rPr>
          <w:vertAlign w:val="superscript"/>
          <w:lang w:val="en-US"/>
        </w:rPr>
        <w:t xml:space="preserve"> 5Ah prismatic Li-ion connected in 2P4S (14.8V, 10Ah) with center tap</w:t>
      </w:r>
      <w:r w:rsidRPr="00AA1CC7">
        <w:rPr>
          <w:lang w:val="en-US"/>
        </w:rPr>
        <w:br/>
      </w:r>
      <w:r w:rsidRPr="00AA1CC7">
        <w:rPr>
          <w:lang w:val="en-US"/>
        </w:rPr>
        <w:br/>
        <w:t xml:space="preserve">Quality Li-ion cells have uniform capacity and low self-discharge when new. Adding cell balancing is beneficial especially as the pack ages and the performance of each cell decreases at its own pace. A problem arises when a cell in a string loses capacity or develops elevated self-discharge. This can be attributed to high-temperature spots in a large battery. Low-quality cells may also be prone to unequal aging. Li-phosphate has higher </w:t>
      </w:r>
      <w:proofErr w:type="gramStart"/>
      <w:r w:rsidRPr="00AA1CC7">
        <w:rPr>
          <w:lang w:val="en-US"/>
        </w:rPr>
        <w:t>self-discharge</w:t>
      </w:r>
      <w:proofErr w:type="gramEnd"/>
      <w:r w:rsidRPr="00AA1CC7">
        <w:rPr>
          <w:lang w:val="en-US"/>
        </w:rPr>
        <w:t xml:space="preserve"> that other Li-ion, and this complicates cell balancing. (See BU-802b: What does Elevated Self-discharge do?)</w:t>
      </w:r>
      <w:r w:rsidRPr="00AA1CC7">
        <w:rPr>
          <w:lang w:val="en-US"/>
        </w:rPr>
        <w:br/>
      </w:r>
      <w:r w:rsidRPr="00AA1CC7">
        <w:rPr>
          <w:lang w:val="en-US"/>
        </w:rPr>
        <w:br/>
        <w:t>A battery expert once said: “I have not seen a cell balancing circuit that works.” For multi-cell packs, he suggested using quality Li-ion cells that have been factory-sorted on capacity and voltage. This works well for Li-ion packs up to 24V; packs above 24V should have balancing. Most balancing is passive; active balancing is complex and is only used in very large systems.</w:t>
      </w:r>
      <w:r w:rsidRPr="00AA1CC7">
        <w:rPr>
          <w:lang w:val="en-US"/>
        </w:rPr>
        <w:br/>
      </w:r>
      <w:r w:rsidRPr="00AA1CC7">
        <w:rPr>
          <w:lang w:val="en-US"/>
        </w:rPr>
        <w:br/>
      </w:r>
      <w:r w:rsidRPr="00AA1CC7">
        <w:rPr>
          <w:rStyle w:val="a6"/>
          <w:lang w:val="en-US"/>
        </w:rPr>
        <w:t>Passive balancing</w:t>
      </w:r>
      <w:r w:rsidRPr="00AA1CC7">
        <w:rPr>
          <w:lang w:val="en-US"/>
        </w:rPr>
        <w:t xml:space="preserve"> bleeds high-voltage cells on a resistor during charge in the 70–80 percent </w:t>
      </w:r>
      <w:proofErr w:type="spellStart"/>
      <w:r w:rsidRPr="00AA1CC7">
        <w:rPr>
          <w:lang w:val="en-US"/>
        </w:rPr>
        <w:t>SoC</w:t>
      </w:r>
      <w:proofErr w:type="spellEnd"/>
      <w:r w:rsidRPr="00AA1CC7">
        <w:rPr>
          <w:lang w:val="en-US"/>
        </w:rPr>
        <w:t xml:space="preserve"> curve; active balancing shuttles the extra charge from higher-voltage cells during discharge to those with a lower voltage.</w:t>
      </w:r>
      <w:r w:rsidRPr="00AA1CC7">
        <w:rPr>
          <w:rStyle w:val="a6"/>
          <w:lang w:val="en-US"/>
        </w:rPr>
        <w:t xml:space="preserve"> Active balancing</w:t>
      </w:r>
      <w:r w:rsidRPr="00AA1CC7">
        <w:rPr>
          <w:lang w:val="en-US"/>
        </w:rPr>
        <w:t xml:space="preserve"> is the preferred method for EV batteries, but it requires DC-DC converters. The corrected currents are in the </w:t>
      </w:r>
      <w:proofErr w:type="spellStart"/>
      <w:r w:rsidRPr="00AA1CC7">
        <w:rPr>
          <w:lang w:val="en-US"/>
        </w:rPr>
        <w:t>mA</w:t>
      </w:r>
      <w:proofErr w:type="spellEnd"/>
      <w:r w:rsidRPr="00AA1CC7">
        <w:rPr>
          <w:lang w:val="en-US"/>
        </w:rPr>
        <w:t xml:space="preserve"> range only. Applying a heavy load during acceleration, followed by rapid-charging with regenerative braking requires well-tuned cells in a high-voltage battery to attain the anticipated life. EV batteries in the Tesla, BMW i3 and other EVs employ active balancing to minimize cell stress.</w:t>
      </w:r>
      <w:r w:rsidRPr="00AA1CC7">
        <w:rPr>
          <w:lang w:val="en-US"/>
        </w:rPr>
        <w:br/>
      </w:r>
      <w:r w:rsidRPr="00AA1CC7">
        <w:rPr>
          <w:lang w:val="en-US"/>
        </w:rPr>
        <w:br/>
      </w:r>
      <w:r w:rsidRPr="00AA1CC7">
        <w:rPr>
          <w:lang w:val="en-US"/>
        </w:rPr>
        <w:lastRenderedPageBreak/>
        <w:t>Single-cell applications in mobile phones and tablets do not need cell balancing. The capacity between cells can vary and each cell is allowed to age on its own terms without causing harm, other than delivering shorter runtimes. The consumer accepts this decrease; it’s part of planned obsolescence in consumer products. (See How to Rate Battery Runtime.)</w:t>
      </w:r>
      <w:r w:rsidRPr="00AA1CC7">
        <w:rPr>
          <w:lang w:val="en-US"/>
        </w:rPr>
        <w:br/>
      </w:r>
      <w:r w:rsidRPr="00AA1CC7">
        <w:rPr>
          <w:lang w:val="en-US"/>
        </w:rPr>
        <w:br/>
        <w:t xml:space="preserve">All Li-ion cells require a protection circuit that assures that serially connected cells do not exceed 4.25V/cell (most Li-ion) on charge and that disconnect when the weakest cell drops to 2.80V/cell or lower. The discharge disconnect prevents the stronger cells from pushing the depleted cell into reverse polarity. The protection circuit acts like a guardian angel that shields the weaker siblings from being bullied by the stronger peers. This may explain why Li-ion packs for power tools last longer than nickel-based batteries without a protection circuit. The protection circuit also safeguards the battery from excessive load current. </w:t>
      </w:r>
      <w:r w:rsidRPr="00AA1CC7">
        <w:rPr>
          <w:lang w:val="en-US"/>
        </w:rPr>
        <w:br/>
      </w:r>
      <w:r w:rsidRPr="00AA1CC7">
        <w:rPr>
          <w:lang w:val="en-US"/>
        </w:rPr>
        <w:br/>
        <w:t>With use and time, battery cells become mismatched, and this also applies to lead acid. Cells that develop high self-discharge will lead to imbalance and subsequent failure. Manufacturers of golf cars, aerial work platforms, floor scrubbers and other battery-powered vehicles recommend an equalizing charge if the voltage difference between the cells is greater than +/– 0.10V, or if the specific gravity varies more than 10 points (0.010 on the SG scale).</w:t>
      </w:r>
      <w:r w:rsidRPr="00AA1CC7">
        <w:rPr>
          <w:lang w:val="en-US"/>
        </w:rPr>
        <w:br/>
      </w:r>
      <w:r w:rsidRPr="00AA1CC7">
        <w:rPr>
          <w:lang w:val="en-US"/>
        </w:rPr>
        <w:br/>
        <w:t xml:space="preserve">An equalizing charge is a charge on top of a charge that brings all cells to full-charge saturation. This service must be administered with care because excessive charging can harm the battery. </w:t>
      </w:r>
      <w:proofErr w:type="gramStart"/>
      <w:r w:rsidRPr="00AA1CC7">
        <w:rPr>
          <w:lang w:val="en-US"/>
        </w:rPr>
        <w:t>( Equalizing</w:t>
      </w:r>
      <w:proofErr w:type="gramEnd"/>
      <w:r w:rsidRPr="00AA1CC7">
        <w:rPr>
          <w:lang w:val="en-US"/>
        </w:rPr>
        <w:t xml:space="preserve"> Charge)  A difference in specific gravity of 40 points poses a performance problem and the cell is considered defective. (A 40-point difference means one cell has an SG of 1.200 and another 1.240.) A charge may temporarily cover the deficiency, but the flaw will likely resurface again after a few hours due to the high self-discharge of the faulty cell.</w:t>
      </w:r>
      <w:r w:rsidRPr="00AA1CC7">
        <w:rPr>
          <w:lang w:val="en-US"/>
        </w:rPr>
        <w:br/>
        <w:t> </w:t>
      </w:r>
    </w:p>
    <w:p w:rsidR="00AA1CC7" w:rsidRDefault="00AA1CC7" w:rsidP="00AA1CC7">
      <w:pPr>
        <w:pStyle w:val="a3"/>
      </w:pPr>
      <w:proofErr w:type="spellStart"/>
      <w:r>
        <w:t>Last</w:t>
      </w:r>
      <w:proofErr w:type="spellEnd"/>
      <w:r>
        <w:t xml:space="preserve"> </w:t>
      </w:r>
      <w:proofErr w:type="spellStart"/>
      <w:r>
        <w:t>updated</w:t>
      </w:r>
      <w:proofErr w:type="spellEnd"/>
      <w:r>
        <w:t xml:space="preserve"> 2016-04-02</w:t>
      </w:r>
    </w:p>
    <w:p w:rsidR="00674831" w:rsidRDefault="00425588"/>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A06BFC"/>
    <w:rsid w:val="00105458"/>
    <w:rsid w:val="001A6DBB"/>
    <w:rsid w:val="00200C7C"/>
    <w:rsid w:val="00425588"/>
    <w:rsid w:val="0055270F"/>
    <w:rsid w:val="008C56BE"/>
    <w:rsid w:val="00A06BFC"/>
    <w:rsid w:val="00AA1CC7"/>
    <w:rsid w:val="00B147DC"/>
    <w:rsid w:val="00B150B6"/>
    <w:rsid w:val="00C85CD0"/>
    <w:rsid w:val="00CA06FB"/>
    <w:rsid w:val="00CF47B2"/>
    <w:rsid w:val="00D06711"/>
    <w:rsid w:val="00D4651B"/>
    <w:rsid w:val="00DB2F7D"/>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A06BFC"/>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6BFC"/>
    <w:rPr>
      <w:rFonts w:ascii="Times New Roman" w:eastAsia="Times New Roman" w:hAnsi="Times New Roman" w:cs="Times New Roman"/>
      <w:b/>
      <w:bCs/>
      <w:kern w:val="36"/>
      <w:sz w:val="48"/>
      <w:szCs w:val="48"/>
      <w:lang w:val="ru-RU" w:eastAsia="ru-RU"/>
    </w:rPr>
  </w:style>
  <w:style w:type="character" w:customStyle="1" w:styleId="notranslate">
    <w:name w:val="notranslate"/>
    <w:basedOn w:val="a0"/>
    <w:rsid w:val="00A06BFC"/>
  </w:style>
  <w:style w:type="paragraph" w:styleId="a3">
    <w:name w:val="Normal (Web)"/>
    <w:basedOn w:val="a"/>
    <w:uiPriority w:val="99"/>
    <w:semiHidden/>
    <w:unhideWhenUsed/>
    <w:rsid w:val="00A06BFC"/>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A06BFC"/>
    <w:rPr>
      <w:b/>
      <w:bCs/>
    </w:rPr>
  </w:style>
  <w:style w:type="character" w:styleId="a5">
    <w:name w:val="Hyperlink"/>
    <w:basedOn w:val="a0"/>
    <w:uiPriority w:val="99"/>
    <w:semiHidden/>
    <w:unhideWhenUsed/>
    <w:rsid w:val="00A06BFC"/>
    <w:rPr>
      <w:color w:val="0000FF"/>
      <w:u w:val="single"/>
    </w:rPr>
  </w:style>
  <w:style w:type="character" w:styleId="a6">
    <w:name w:val="Emphasis"/>
    <w:basedOn w:val="a0"/>
    <w:uiPriority w:val="20"/>
    <w:qFormat/>
    <w:rsid w:val="00A06BFC"/>
    <w:rPr>
      <w:i/>
      <w:iCs/>
    </w:rPr>
  </w:style>
  <w:style w:type="paragraph" w:styleId="a7">
    <w:name w:val="Balloon Text"/>
    <w:basedOn w:val="a"/>
    <w:link w:val="a8"/>
    <w:uiPriority w:val="99"/>
    <w:semiHidden/>
    <w:unhideWhenUsed/>
    <w:rsid w:val="00A06BFC"/>
    <w:rPr>
      <w:rFonts w:ascii="Tahoma" w:hAnsi="Tahoma" w:cs="Tahoma"/>
      <w:sz w:val="16"/>
      <w:szCs w:val="16"/>
    </w:rPr>
  </w:style>
  <w:style w:type="character" w:customStyle="1" w:styleId="a8">
    <w:name w:val="Текст выноски Знак"/>
    <w:basedOn w:val="a0"/>
    <w:link w:val="a7"/>
    <w:uiPriority w:val="99"/>
    <w:semiHidden/>
    <w:rsid w:val="00A06B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1479009">
      <w:bodyDiv w:val="1"/>
      <w:marLeft w:val="0"/>
      <w:marRight w:val="0"/>
      <w:marTop w:val="0"/>
      <w:marBottom w:val="0"/>
      <w:divBdr>
        <w:top w:val="none" w:sz="0" w:space="0" w:color="auto"/>
        <w:left w:val="none" w:sz="0" w:space="0" w:color="auto"/>
        <w:bottom w:val="none" w:sz="0" w:space="0" w:color="auto"/>
        <w:right w:val="none" w:sz="0" w:space="0" w:color="auto"/>
      </w:divBdr>
    </w:div>
    <w:div w:id="121588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2260</Words>
  <Characters>12882</Characters>
  <Application>Microsoft Office Word</Application>
  <DocSecurity>0</DocSecurity>
  <Lines>107</Lines>
  <Paragraphs>30</Paragraphs>
  <ScaleCrop>false</ScaleCrop>
  <Company>SPecialiST RePack</Company>
  <LinksUpToDate>false</LinksUpToDate>
  <CharactersWithSpaces>15112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2017-11-16T18:56:00Z</dcterms:created>
  <dcterms:modified xsi:type="dcterms:W3CDTF">2017-11-16T19:26:00Z</dcterms:modified>
</cp:coreProperties>
</file>